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jc w:val="both"/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</w:pPr>
      <w:bookmarkStart w:id="0" w:name="_Toc320610169"/>
      <w:bookmarkStart w:id="1" w:name="_Toc350949113"/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附件2：</w:t>
      </w:r>
    </w:p>
    <w:p>
      <w:pPr>
        <w:spacing w:before="156" w:after="156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sz w:val="44"/>
          <w:szCs w:val="44"/>
        </w:rPr>
        <w:t>2022年绍兴市</w:t>
      </w:r>
      <w:r>
        <w:rPr>
          <w:rFonts w:hint="eastAsia" w:ascii="黑体" w:hAnsi="黑体" w:eastAsia="黑体" w:cs="等线"/>
          <w:sz w:val="44"/>
          <w:szCs w:val="44"/>
        </w:rPr>
        <w:t>上虞区职业技能竞赛</w:t>
      </w:r>
    </w:p>
    <w:p>
      <w:pPr>
        <w:tabs>
          <w:tab w:val="left" w:pos="4680"/>
        </w:tabs>
        <w:spacing w:before="156" w:after="156" w:line="480" w:lineRule="exact"/>
        <w:jc w:val="center"/>
        <w:rPr>
          <w:rFonts w:ascii="宋体" w:hAnsi="宋体"/>
          <w:b/>
          <w:spacing w:val="-6"/>
          <w:sz w:val="44"/>
          <w:szCs w:val="44"/>
        </w:rPr>
      </w:pPr>
      <w:r>
        <w:rPr>
          <w:rFonts w:hint="eastAsia" w:ascii="宋体" w:hAnsi="宋体"/>
          <w:b/>
          <w:spacing w:val="-6"/>
          <w:sz w:val="44"/>
          <w:szCs w:val="44"/>
          <w:lang w:val="en-US" w:eastAsia="zh-CN"/>
        </w:rPr>
        <w:t>电工（</w:t>
      </w:r>
      <w:r>
        <w:rPr>
          <w:rFonts w:hint="eastAsia" w:ascii="宋体" w:hAnsi="宋体"/>
          <w:b/>
          <w:spacing w:val="-6"/>
          <w:sz w:val="44"/>
          <w:szCs w:val="44"/>
        </w:rPr>
        <w:t>维修电工</w:t>
      </w:r>
      <w:r>
        <w:rPr>
          <w:rFonts w:hint="eastAsia" w:ascii="宋体" w:hAnsi="宋体"/>
          <w:b/>
          <w:spacing w:val="-6"/>
          <w:sz w:val="44"/>
          <w:szCs w:val="44"/>
          <w:lang w:val="en-US" w:eastAsia="zh-CN"/>
        </w:rPr>
        <w:t>）</w:t>
      </w:r>
      <w:r>
        <w:rPr>
          <w:rFonts w:hint="eastAsia" w:ascii="宋体" w:hAnsi="宋体"/>
          <w:b/>
          <w:spacing w:val="-6"/>
          <w:sz w:val="44"/>
          <w:szCs w:val="44"/>
        </w:rPr>
        <w:t>项目技术文件</w:t>
      </w:r>
    </w:p>
    <w:p>
      <w:pPr>
        <w:spacing w:before="156" w:beforeLines="50" w:after="156" w:afterLines="50" w:line="360" w:lineRule="auto"/>
        <w:ind w:firstLine="562" w:firstLineChars="20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一、竞赛项目</w:t>
      </w:r>
      <w:bookmarkEnd w:id="0"/>
      <w:bookmarkEnd w:id="1"/>
    </w:p>
    <w:p>
      <w:pPr>
        <w:spacing w:line="360" w:lineRule="auto"/>
        <w:ind w:firstLine="560" w:firstLineChars="200"/>
        <w:rPr>
          <w:rFonts w:ascii="仿宋_GB2312" w:hAnsi="仿宋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Cs/>
          <w:kern w:val="0"/>
          <w:sz w:val="28"/>
          <w:szCs w:val="28"/>
        </w:rPr>
        <w:t>项目名称：</w:t>
      </w:r>
      <w:r>
        <w:rPr>
          <w:rFonts w:hint="eastAsia" w:ascii="仿宋_GB2312" w:hAnsi="仿宋" w:eastAsia="仿宋_GB2312" w:cs="宋体"/>
          <w:bCs/>
          <w:kern w:val="0"/>
          <w:sz w:val="28"/>
          <w:szCs w:val="28"/>
          <w:lang w:val="en-US" w:eastAsia="zh-CN"/>
        </w:rPr>
        <w:t>电工</w:t>
      </w:r>
      <w:r>
        <w:rPr>
          <w:rFonts w:hint="eastAsia" w:ascii="仿宋_GB2312" w:hAnsi="仿宋" w:eastAsia="仿宋_GB2312" w:cs="宋体"/>
          <w:bCs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" w:eastAsia="仿宋_GB2312" w:cs="宋体"/>
          <w:bCs/>
          <w:kern w:val="0"/>
          <w:sz w:val="28"/>
          <w:szCs w:val="28"/>
        </w:rPr>
        <w:t>维修电工</w:t>
      </w:r>
      <w:r>
        <w:rPr>
          <w:rFonts w:hint="eastAsia" w:ascii="仿宋_GB2312" w:hAnsi="仿宋" w:eastAsia="仿宋_GB2312" w:cs="宋体"/>
          <w:bCs/>
          <w:kern w:val="0"/>
          <w:sz w:val="28"/>
          <w:szCs w:val="28"/>
          <w:lang w:eastAsia="zh-CN"/>
        </w:rPr>
        <w:t>）</w:t>
      </w:r>
    </w:p>
    <w:p>
      <w:pPr>
        <w:tabs>
          <w:tab w:val="left" w:pos="7310"/>
        </w:tabs>
        <w:spacing w:line="360" w:lineRule="auto"/>
        <w:ind w:firstLine="560" w:firstLineChars="200"/>
        <w:rPr>
          <w:rFonts w:ascii="仿宋_GB2312" w:hAnsi="仿宋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Cs/>
          <w:kern w:val="0"/>
          <w:sz w:val="28"/>
          <w:szCs w:val="28"/>
        </w:rPr>
        <w:t>竞赛方式：个人项目</w:t>
      </w:r>
    </w:p>
    <w:p>
      <w:pPr>
        <w:tabs>
          <w:tab w:val="left" w:pos="7310"/>
        </w:tabs>
        <w:spacing w:line="360" w:lineRule="auto"/>
        <w:ind w:firstLine="560" w:firstLineChars="200"/>
        <w:rPr>
          <w:rFonts w:ascii="仿宋_GB2312" w:hAnsi="仿宋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Cs/>
          <w:kern w:val="0"/>
          <w:sz w:val="28"/>
          <w:szCs w:val="28"/>
        </w:rPr>
        <w:t>竞赛对象：</w:t>
      </w:r>
      <w:r>
        <w:rPr>
          <w:rFonts w:ascii="仿宋_GB2312" w:hAnsi="仿宋" w:eastAsia="仿宋_GB2312" w:cs="宋体"/>
          <w:bCs/>
          <w:kern w:val="0"/>
          <w:sz w:val="28"/>
          <w:szCs w:val="28"/>
        </w:rPr>
        <w:t xml:space="preserve"> </w:t>
      </w:r>
      <w:r>
        <w:rPr>
          <w:rFonts w:hint="eastAsia" w:ascii="仿宋_GB2312" w:hAnsi="仿宋" w:eastAsia="仿宋_GB2312" w:cs="宋体"/>
          <w:bCs/>
          <w:kern w:val="0"/>
          <w:sz w:val="28"/>
          <w:szCs w:val="28"/>
        </w:rPr>
        <w:t>企业职工</w:t>
      </w:r>
    </w:p>
    <w:p>
      <w:pPr>
        <w:spacing w:before="156" w:beforeLines="50" w:after="156" w:afterLines="50"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二、竞赛标准</w:t>
      </w:r>
    </w:p>
    <w:p>
      <w:pPr>
        <w:spacing w:line="360" w:lineRule="auto"/>
        <w:ind w:firstLine="560" w:firstLineChars="200"/>
        <w:rPr>
          <w:rFonts w:ascii="仿宋_GB2312" w:hAnsi="仿宋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Cs/>
          <w:kern w:val="0"/>
          <w:sz w:val="28"/>
          <w:szCs w:val="28"/>
        </w:rPr>
        <w:t>本次竞赛按电工《国家职业标准》高级工要求命题，适当增加新知识、新技术、新工艺、新技能等内容，</w:t>
      </w:r>
      <w:r>
        <w:rPr>
          <w:rFonts w:hint="eastAsia" w:ascii="仿宋_GB2312" w:hAnsi="仿宋" w:eastAsia="仿宋_GB2312" w:cs="宋体"/>
          <w:bCs/>
          <w:kern w:val="0"/>
          <w:sz w:val="28"/>
          <w:szCs w:val="28"/>
          <w:lang w:val="en-US" w:eastAsia="zh-CN"/>
        </w:rPr>
        <w:t>并</w:t>
      </w:r>
      <w:r>
        <w:rPr>
          <w:rFonts w:hint="eastAsia" w:ascii="仿宋_GB2312" w:hAnsi="仿宋" w:eastAsia="仿宋_GB2312" w:cs="宋体"/>
          <w:bCs/>
          <w:kern w:val="0"/>
          <w:sz w:val="28"/>
          <w:szCs w:val="28"/>
        </w:rPr>
        <w:t>结合企业生产实际制定。知识点和技能点以《国家职业标准》三级（高级工）为基础，并涵盖三级（高级工）以下和二级（技师）的部分内容，重视技能操作、淡化理论考核。</w:t>
      </w:r>
    </w:p>
    <w:p>
      <w:pPr>
        <w:spacing w:before="156" w:beforeLines="50" w:after="156" w:afterLines="50"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三、命题原则</w:t>
      </w:r>
    </w:p>
    <w:p>
      <w:pPr>
        <w:spacing w:line="360" w:lineRule="auto"/>
        <w:rPr>
          <w:rFonts w:ascii="仿宋_GB2312" w:hAnsi="仿宋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Cs/>
          <w:kern w:val="0"/>
          <w:sz w:val="28"/>
          <w:szCs w:val="28"/>
        </w:rPr>
        <w:t xml:space="preserve">    依据维修电工国家职业标准，注重基本技能和专业化操作，注重操作过程和质量控制，注重安全生产以及职业道德和标准规范，体现现代技术，结合生产实际，考核职业综合能力，并对技能人才培养起到示范指导作用。</w:t>
      </w:r>
    </w:p>
    <w:p>
      <w:pPr>
        <w:spacing w:before="156" w:beforeLines="50" w:after="156" w:afterLines="50"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四、竞赛方式、时间与成绩计算</w:t>
      </w:r>
    </w:p>
    <w:p>
      <w:pPr>
        <w:tabs>
          <w:tab w:val="left" w:pos="3240"/>
        </w:tabs>
        <w:spacing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（一）竞赛方式</w:t>
      </w:r>
    </w:p>
    <w:p>
      <w:pPr>
        <w:tabs>
          <w:tab w:val="left" w:pos="3240"/>
        </w:tabs>
        <w:spacing w:line="360" w:lineRule="auto"/>
        <w:ind w:firstLine="56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宋体"/>
          <w:bCs/>
          <w:kern w:val="0"/>
          <w:sz w:val="28"/>
          <w:szCs w:val="28"/>
        </w:rPr>
        <w:t>竞赛包括理论知识（笔试）和实际操作两部分，均由1名选手独立完成。</w:t>
      </w:r>
      <w:r>
        <w:rPr>
          <w:rFonts w:hint="eastAsia" w:ascii="仿宋" w:hAnsi="仿宋" w:eastAsia="仿宋"/>
          <w:bCs/>
          <w:sz w:val="28"/>
          <w:szCs w:val="28"/>
        </w:rPr>
        <w:t>赛场的工位号由参赛选手现场抽签决定。</w:t>
      </w:r>
    </w:p>
    <w:p>
      <w:pPr>
        <w:tabs>
          <w:tab w:val="left" w:pos="3240"/>
        </w:tabs>
        <w:spacing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（二）竞赛时间</w:t>
      </w:r>
    </w:p>
    <w:p>
      <w:pPr>
        <w:spacing w:line="360" w:lineRule="auto"/>
        <w:ind w:firstLine="565" w:firstLineChars="202"/>
        <w:rPr>
          <w:rFonts w:ascii="仿宋_GB2312" w:hAnsi="仿宋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Cs/>
          <w:kern w:val="0"/>
          <w:sz w:val="28"/>
          <w:szCs w:val="28"/>
        </w:rPr>
        <w:t>1．理论知识竞赛（笔试）时间60分钟，满分100分。</w:t>
      </w:r>
    </w:p>
    <w:p>
      <w:pPr>
        <w:spacing w:line="360" w:lineRule="auto"/>
        <w:ind w:firstLine="565" w:firstLineChars="202"/>
        <w:rPr>
          <w:rFonts w:ascii="仿宋_GB2312" w:hAnsi="仿宋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Cs/>
          <w:kern w:val="0"/>
          <w:sz w:val="28"/>
          <w:szCs w:val="28"/>
        </w:rPr>
        <w:t>2. 实际操作竞赛总时间270分钟，满分100分。</w:t>
      </w:r>
    </w:p>
    <w:p>
      <w:pPr>
        <w:tabs>
          <w:tab w:val="left" w:pos="3240"/>
        </w:tabs>
        <w:spacing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（三）成绩计算</w:t>
      </w:r>
    </w:p>
    <w:p>
      <w:pPr>
        <w:spacing w:line="360" w:lineRule="auto"/>
        <w:ind w:firstLine="565" w:firstLineChars="202"/>
        <w:rPr>
          <w:rFonts w:ascii="仿宋_GB2312" w:hAnsi="仿宋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Cs/>
          <w:kern w:val="0"/>
          <w:sz w:val="28"/>
          <w:szCs w:val="28"/>
        </w:rPr>
        <w:t>竞赛总成绩由理论知识和实际操作比赛两部分成绩组成。竞赛总成绩作为参赛选手名次排序的依据。</w:t>
      </w:r>
    </w:p>
    <w:p>
      <w:pPr>
        <w:spacing w:line="360" w:lineRule="auto"/>
        <w:ind w:firstLine="565" w:firstLineChars="202"/>
        <w:rPr>
          <w:rFonts w:ascii="仿宋_GB2312" w:hAnsi="仿宋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Cs/>
          <w:kern w:val="0"/>
          <w:sz w:val="28"/>
          <w:szCs w:val="28"/>
        </w:rPr>
        <w:t>1．理论知识成绩占总成绩的30％。</w:t>
      </w:r>
    </w:p>
    <w:p>
      <w:pPr>
        <w:spacing w:line="360" w:lineRule="auto"/>
        <w:ind w:firstLine="565" w:firstLineChars="202"/>
        <w:rPr>
          <w:rFonts w:ascii="仿宋_GB2312" w:hAnsi="仿宋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Cs/>
          <w:kern w:val="0"/>
          <w:sz w:val="28"/>
          <w:szCs w:val="28"/>
        </w:rPr>
        <w:t>2．实际操作成绩占总成绩的70％。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3. 成绩折算后，保留到小数点后2位，比赛总成绩相同者，操作竞赛成绩高者，名次在前。操作竞赛成绩相同者，用时最少者，名次在前。</w:t>
      </w:r>
    </w:p>
    <w:p>
      <w:pPr>
        <w:spacing w:before="156" w:beforeLines="50" w:after="156" w:afterLines="50"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五、竞赛范围、类型及其它</w:t>
      </w:r>
    </w:p>
    <w:p>
      <w:pPr>
        <w:tabs>
          <w:tab w:val="left" w:pos="3240"/>
        </w:tabs>
        <w:spacing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（一）理论知识竞赛</w:t>
      </w:r>
    </w:p>
    <w:p>
      <w:pPr>
        <w:tabs>
          <w:tab w:val="left" w:pos="3240"/>
        </w:tabs>
        <w:spacing w:line="360" w:lineRule="auto"/>
        <w:ind w:firstLine="56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宋体"/>
          <w:bCs/>
          <w:kern w:val="0"/>
          <w:sz w:val="28"/>
          <w:szCs w:val="28"/>
        </w:rPr>
        <w:t>《国家职业标准》高级工</w:t>
      </w:r>
    </w:p>
    <w:p>
      <w:pPr>
        <w:tabs>
          <w:tab w:val="left" w:pos="3240"/>
        </w:tabs>
        <w:spacing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1．试题范围 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①电工基本理论知识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②电机及拖动基础知识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③自动控制技术知识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④PLC及变频器相关知识</w:t>
      </w:r>
    </w:p>
    <w:p>
      <w:pPr>
        <w:tabs>
          <w:tab w:val="left" w:pos="3240"/>
        </w:tabs>
        <w:spacing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2．试题比重及题型</w:t>
      </w:r>
    </w:p>
    <w:p>
      <w:pPr>
        <w:spacing w:line="360" w:lineRule="auto"/>
        <w:ind w:firstLine="708" w:firstLineChars="253"/>
        <w:rPr>
          <w:rFonts w:ascii="仿宋_GB2312" w:hAnsi="仿宋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Cs/>
          <w:kern w:val="0"/>
          <w:sz w:val="28"/>
          <w:szCs w:val="28"/>
        </w:rPr>
        <w:t>本次竞赛赛题以本工种专业知识为主，相关知识为辅。</w:t>
      </w:r>
    </w:p>
    <w:p>
      <w:pPr>
        <w:spacing w:line="360" w:lineRule="auto"/>
        <w:ind w:firstLine="565" w:firstLineChars="202"/>
        <w:rPr>
          <w:rFonts w:ascii="仿宋_GB2312" w:hAnsi="仿宋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Cs/>
          <w:kern w:val="0"/>
          <w:sz w:val="28"/>
          <w:szCs w:val="28"/>
        </w:rPr>
        <w:t>赛题类型：判断题与选择题(单选)。判断题型占20%，选择题型占80%。</w:t>
      </w:r>
    </w:p>
    <w:p>
      <w:pPr>
        <w:tabs>
          <w:tab w:val="left" w:pos="3240"/>
        </w:tabs>
        <w:spacing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3．竞赛方式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_GB2312" w:hAnsi="仿宋" w:eastAsia="仿宋_GB2312" w:cs="宋体"/>
          <w:bCs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/>
          <w:bCs/>
          <w:sz w:val="28"/>
          <w:szCs w:val="28"/>
        </w:rPr>
        <w:t>闭卷考试，答案须写在答题纸上，写在试卷上的答案概不给分。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（二）实际操作竞赛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1.按工作任务书给定的电气原理图进行电气线路的安装与调试，主电路要求硬线连接，控制回路要求软线连接。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2.按工作任务书给定的某系统工作流程介绍，用PLC进行控制系统设计并进行模拟调试演示。要求在答题纸上写出I</w:t>
      </w:r>
      <w:r>
        <w:rPr>
          <w:rFonts w:ascii="仿宋" w:hAnsi="仿宋" w:eastAsia="仿宋"/>
          <w:bCs/>
          <w:sz w:val="28"/>
          <w:szCs w:val="28"/>
        </w:rPr>
        <w:t>/O</w:t>
      </w:r>
      <w:r>
        <w:rPr>
          <w:rFonts w:hint="eastAsia" w:ascii="仿宋" w:hAnsi="仿宋" w:eastAsia="仿宋"/>
          <w:bCs/>
          <w:sz w:val="28"/>
          <w:szCs w:val="28"/>
        </w:rPr>
        <w:t>分配，画出主电路、变频器与PLC的外部接线图及程序（梯形图）。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3.电子产品的安装与调试。根据现场提供的电子元器件，焊接电路并且调试进行记录。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4.</w:t>
      </w:r>
      <w:r>
        <w:rPr>
          <w:rFonts w:hint="eastAsia" w:ascii="仿宋" w:hAnsi="仿宋" w:eastAsia="仿宋"/>
          <w:bCs/>
          <w:sz w:val="28"/>
          <w:szCs w:val="28"/>
        </w:rPr>
        <w:t>选手自带操作工具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比赛使用工具选手自备（参考清单见附表1）。</w:t>
      </w:r>
    </w:p>
    <w:p>
      <w:pPr>
        <w:spacing w:before="156" w:beforeLines="50" w:after="156" w:afterLines="50"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六、实际操作竞赛场地与设施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（一）竞赛场地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竞赛设备：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1.天煌THPFSL-3型网络可编程控制器实训装置，如图1所示：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(1)</w:t>
      </w:r>
      <w:r>
        <w:rPr>
          <w:rFonts w:hint="eastAsia" w:ascii="仿宋" w:hAnsi="仿宋" w:eastAsia="仿宋"/>
          <w:bCs/>
          <w:sz w:val="28"/>
          <w:szCs w:val="28"/>
        </w:rPr>
        <w:t>可编程控制器（FX1N-48MR）、变频器（三菱FR-S500）模块、多种液体混合装置模块、各种实验模块、接线端子等。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(2)</w:t>
      </w:r>
      <w:r>
        <w:rPr>
          <w:rFonts w:hint="eastAsia" w:ascii="仿宋" w:hAnsi="仿宋" w:eastAsia="仿宋"/>
          <w:bCs/>
          <w:sz w:val="28"/>
          <w:szCs w:val="28"/>
        </w:rPr>
        <w:t>电机：三相异步交流电动机。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(3)</w:t>
      </w:r>
      <w:r>
        <w:rPr>
          <w:rFonts w:hint="eastAsia" w:ascii="仿宋" w:hAnsi="仿宋" w:eastAsia="仿宋"/>
          <w:bCs/>
          <w:sz w:val="28"/>
          <w:szCs w:val="28"/>
        </w:rPr>
        <w:t>指令与指示元件：轻触开关、拨动开关、指示灯等。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drawing>
          <wp:inline distT="0" distB="0" distL="114300" distR="114300">
            <wp:extent cx="4301490" cy="2989580"/>
            <wp:effectExtent l="0" t="0" r="3810" b="1270"/>
            <wp:docPr id="1" name="图片 1" descr="PLC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LC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149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center"/>
        <w:rPr>
          <w:rFonts w:ascii="仿宋" w:hAnsi="仿宋" w:eastAsia="仿宋"/>
          <w:bCs/>
          <w:szCs w:val="28"/>
        </w:rPr>
      </w:pPr>
      <w:r>
        <w:rPr>
          <w:rFonts w:hint="eastAsia" w:ascii="仿宋" w:hAnsi="仿宋" w:eastAsia="仿宋"/>
          <w:bCs/>
          <w:szCs w:val="28"/>
        </w:rPr>
        <w:t>图1  天煌THPFSL-3型网络可编程控制器实训装置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2.电气安装及调试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漏电保护器、空气开关、熔断器、按钮、交流接触器、时间继电器、热继电器、配电板、接线端子排、线槽、螺丝、电源接线等。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</w:rPr>
        <w:t>3.</w:t>
      </w:r>
      <w:r>
        <w:rPr>
          <w:rFonts w:hint="eastAsia" w:ascii="仿宋" w:hAnsi="仿宋" w:eastAsia="仿宋"/>
          <w:bCs/>
          <w:sz w:val="28"/>
          <w:szCs w:val="28"/>
        </w:rPr>
        <w:t xml:space="preserve"> 电子产品的安装与调试：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天煌THETDY-3型电子工艺实训装置，如图3所示：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</w:rPr>
      </w:pPr>
      <w:r>
        <w:rPr>
          <w:rFonts w:ascii="仿宋" w:hAnsi="仿宋" w:eastAsia="仿宋"/>
          <w:bCs/>
          <w:sz w:val="28"/>
        </w:rPr>
        <w:t>配置</w:t>
      </w:r>
      <w:r>
        <w:rPr>
          <w:rFonts w:hint="eastAsia" w:ascii="仿宋" w:hAnsi="仿宋" w:eastAsia="仿宋"/>
          <w:bCs/>
          <w:sz w:val="28"/>
        </w:rPr>
        <w:t>：</w:t>
      </w:r>
      <w:r>
        <w:rPr>
          <w:rFonts w:ascii="仿宋" w:hAnsi="仿宋" w:eastAsia="仿宋"/>
          <w:bCs/>
          <w:sz w:val="28"/>
        </w:rPr>
        <w:t>示波器</w:t>
      </w:r>
      <w:r>
        <w:rPr>
          <w:rFonts w:hint="eastAsia" w:ascii="仿宋" w:hAnsi="仿宋" w:eastAsia="仿宋"/>
          <w:bCs/>
          <w:sz w:val="28"/>
        </w:rPr>
        <w:t>、</w:t>
      </w:r>
      <w:r>
        <w:rPr>
          <w:rFonts w:ascii="仿宋" w:hAnsi="仿宋" w:eastAsia="仿宋"/>
          <w:bCs/>
          <w:sz w:val="28"/>
        </w:rPr>
        <w:t>信号发生器</w:t>
      </w:r>
      <w:r>
        <w:rPr>
          <w:rFonts w:hint="eastAsia" w:ascii="仿宋" w:hAnsi="仿宋" w:eastAsia="仿宋"/>
          <w:bCs/>
          <w:sz w:val="28"/>
        </w:rPr>
        <w:t>、交直流</w:t>
      </w:r>
      <w:r>
        <w:rPr>
          <w:rFonts w:ascii="仿宋" w:hAnsi="仿宋" w:eastAsia="仿宋"/>
          <w:bCs/>
          <w:sz w:val="28"/>
        </w:rPr>
        <w:t>电源等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drawing>
          <wp:inline distT="0" distB="0" distL="114300" distR="114300">
            <wp:extent cx="4547870" cy="3418840"/>
            <wp:effectExtent l="0" t="0" r="5080" b="10160"/>
            <wp:docPr id="2" name="图片 2" descr="电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电子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7870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1890" w:firstLineChars="900"/>
        <w:rPr>
          <w:rFonts w:ascii="仿宋" w:hAnsi="仿宋" w:eastAsia="仿宋"/>
          <w:kern w:val="0"/>
          <w:szCs w:val="21"/>
        </w:rPr>
      </w:pPr>
      <w:r>
        <w:rPr>
          <w:rFonts w:hint="eastAsia" w:ascii="仿宋" w:hAnsi="仿宋" w:eastAsia="仿宋"/>
          <w:kern w:val="0"/>
          <w:szCs w:val="21"/>
        </w:rPr>
        <w:t>图</w:t>
      </w:r>
      <w:r>
        <w:rPr>
          <w:rFonts w:ascii="仿宋" w:hAnsi="仿宋" w:eastAsia="仿宋"/>
          <w:kern w:val="0"/>
          <w:szCs w:val="21"/>
        </w:rPr>
        <w:t xml:space="preserve">3  </w:t>
      </w:r>
      <w:r>
        <w:rPr>
          <w:rFonts w:hint="eastAsia" w:ascii="仿宋" w:hAnsi="仿宋" w:eastAsia="仿宋"/>
          <w:bCs/>
          <w:szCs w:val="21"/>
        </w:rPr>
        <w:t>天煌THETDY-3型电子工艺实训装置</w:t>
      </w:r>
    </w:p>
    <w:p>
      <w:pPr>
        <w:spacing w:before="156" w:beforeLines="50" w:after="156" w:afterLines="50" w:line="360" w:lineRule="auto"/>
        <w:ind w:left="562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七、竞赛安全</w:t>
      </w:r>
    </w:p>
    <w:p>
      <w:pPr>
        <w:tabs>
          <w:tab w:val="left" w:pos="3240"/>
        </w:tabs>
        <w:spacing w:line="360" w:lineRule="auto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选手必须按规定穿戴好安全防护用品</w:t>
      </w:r>
      <w:r>
        <w:rPr>
          <w:rFonts w:hint="eastAsia" w:ascii="仿宋" w:hAnsi="仿宋" w:eastAsia="仿宋"/>
          <w:b/>
          <w:bCs/>
          <w:sz w:val="24"/>
          <w:lang w:eastAsia="zh-CN"/>
        </w:rPr>
        <w:t>（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>未按规定穿戴安全防护用品的谢绝参赛</w:t>
      </w:r>
      <w:r>
        <w:rPr>
          <w:rFonts w:hint="eastAsia" w:ascii="仿宋" w:hAnsi="仿宋" w:eastAsia="仿宋"/>
          <w:b/>
          <w:bCs/>
          <w:sz w:val="24"/>
          <w:lang w:eastAsia="zh-CN"/>
        </w:rPr>
        <w:t>）</w:t>
      </w:r>
      <w:r>
        <w:rPr>
          <w:rFonts w:hint="eastAsia" w:ascii="仿宋" w:hAnsi="仿宋" w:eastAsia="仿宋"/>
          <w:b/>
          <w:bCs/>
          <w:sz w:val="24"/>
        </w:rPr>
        <w:t>。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6"/>
        <w:gridCol w:w="3519"/>
        <w:gridCol w:w="25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6" w:type="dxa"/>
            <w:shd w:val="clear" w:color="auto" w:fill="B6DDE8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519" w:type="dxa"/>
            <w:shd w:val="clear" w:color="auto" w:fill="B6DDE8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图例</w:t>
            </w:r>
          </w:p>
        </w:tc>
        <w:tc>
          <w:tcPr>
            <w:tcW w:w="2517" w:type="dxa"/>
            <w:shd w:val="clear" w:color="auto" w:fill="B6DDE8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电工安全鞋</w:t>
            </w:r>
          </w:p>
        </w:tc>
        <w:tc>
          <w:tcPr>
            <w:tcW w:w="3519" w:type="dxa"/>
            <w:noWrap w:val="0"/>
            <w:vAlign w:val="top"/>
          </w:tcPr>
          <w:p>
            <w:pPr>
              <w:jc w:val="center"/>
            </w:pPr>
            <w:r>
              <w:drawing>
                <wp:inline distT="0" distB="0" distL="114300" distR="114300">
                  <wp:extent cx="906145" cy="675640"/>
                  <wp:effectExtent l="0" t="0" r="8255" b="10160"/>
                  <wp:docPr id="3" name="图片 3" descr="http://pigimg.zhongso.com/space/gallery/2013/07/09/17/b2b_20130609055930908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http://pigimg.zhongso.com/space/gallery/2013/07/09/17/b2b_20130609055930908604.jpg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4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noWrap w:val="0"/>
            <w:vAlign w:val="top"/>
          </w:tcPr>
          <w:p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必须防滑、防砸、防穿刺、绝缘10KV。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248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防护服</w:t>
            </w:r>
          </w:p>
        </w:tc>
        <w:tc>
          <w:tcPr>
            <w:tcW w:w="3519" w:type="dxa"/>
            <w:noWrap w:val="0"/>
            <w:vAlign w:val="top"/>
          </w:tcPr>
          <w:p>
            <w:pPr>
              <w:jc w:val="center"/>
            </w:pPr>
            <w:r>
              <w:drawing>
                <wp:inline distT="0" distB="0" distL="114300" distR="114300">
                  <wp:extent cx="906145" cy="1009650"/>
                  <wp:effectExtent l="0" t="0" r="8255" b="0"/>
                  <wp:docPr id="4" name="图片 4" descr="工作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工作服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4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noWrap w:val="0"/>
            <w:vAlign w:val="top"/>
          </w:tcPr>
          <w:p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1、必须是长裤</w:t>
            </w:r>
          </w:p>
          <w:p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2、防护服必须紧身不松垮，达到三紧要求</w:t>
            </w:r>
          </w:p>
          <w:p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3、女性必须带工作帽、长发不得外露</w:t>
            </w:r>
          </w:p>
          <w:p>
            <w:r>
              <w:rPr>
                <w:rFonts w:hint="eastAsia"/>
                <w:b/>
                <w:color w:val="FF0000"/>
              </w:rPr>
              <w:t>4、不得有学校标识</w:t>
            </w:r>
          </w:p>
        </w:tc>
      </w:tr>
    </w:tbl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1. 赛场所有人员（赛场管理与组织人员、裁判员、参赛人员）必须严格按竞赛单位要求的防疫措施执行，不符合防疫要求的不得进入竞赛单位大门。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</w:t>
      </w:r>
      <w:r>
        <w:rPr>
          <w:rFonts w:ascii="仿宋" w:hAnsi="仿宋" w:eastAsia="仿宋"/>
          <w:bCs/>
          <w:sz w:val="28"/>
          <w:szCs w:val="28"/>
        </w:rPr>
        <w:t>.</w:t>
      </w:r>
      <w:r>
        <w:rPr>
          <w:rFonts w:hint="eastAsia" w:ascii="仿宋" w:hAnsi="仿宋" w:eastAsia="仿宋"/>
          <w:bCs/>
          <w:sz w:val="28"/>
          <w:szCs w:val="28"/>
        </w:rPr>
        <w:t>赛场所有人员（赛场管理与组织人员、裁判员、参赛人员）不得在竞赛现场内外吸烟，不听劝阻者给予通报批评或清退比赛现场。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3</w:t>
      </w:r>
      <w:r>
        <w:rPr>
          <w:rFonts w:ascii="仿宋" w:hAnsi="仿宋" w:eastAsia="仿宋"/>
          <w:bCs/>
          <w:sz w:val="28"/>
          <w:szCs w:val="28"/>
        </w:rPr>
        <w:t>.</w:t>
      </w:r>
      <w:r>
        <w:rPr>
          <w:rFonts w:hint="eastAsia" w:ascii="仿宋" w:hAnsi="仿宋" w:eastAsia="仿宋"/>
          <w:bCs/>
          <w:sz w:val="28"/>
          <w:szCs w:val="28"/>
        </w:rPr>
        <w:t>选手在竞赛中必须遵守赛场的各项规章制度和操作规程，安全、合理的使用各种设施设备和工具，出现严重违章操作设备的，裁判视情节轻重进行批评和终止比赛。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4</w:t>
      </w:r>
      <w:r>
        <w:rPr>
          <w:rFonts w:ascii="仿宋" w:hAnsi="仿宋" w:eastAsia="仿宋"/>
          <w:bCs/>
          <w:sz w:val="28"/>
          <w:szCs w:val="28"/>
        </w:rPr>
        <w:t>.</w:t>
      </w:r>
      <w:r>
        <w:rPr>
          <w:rFonts w:hint="eastAsia" w:ascii="仿宋" w:hAnsi="仿宋" w:eastAsia="仿宋"/>
          <w:bCs/>
          <w:sz w:val="28"/>
          <w:szCs w:val="28"/>
        </w:rPr>
        <w:t>选手参加实际操作竞赛前，应认真学习竞赛项目安全操作规程。竞赛中如发现问题应及时解决，无法解决的问题应及时向裁判员报告，裁判员视情况予以判定，并协调处理。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5</w:t>
      </w:r>
      <w:r>
        <w:rPr>
          <w:rFonts w:ascii="仿宋" w:hAnsi="仿宋" w:eastAsia="仿宋"/>
          <w:bCs/>
          <w:sz w:val="28"/>
          <w:szCs w:val="28"/>
        </w:rPr>
        <w:t>.</w:t>
      </w:r>
      <w:r>
        <w:rPr>
          <w:rFonts w:hint="eastAsia" w:ascii="仿宋" w:hAnsi="仿宋" w:eastAsia="仿宋"/>
          <w:bCs/>
          <w:sz w:val="28"/>
          <w:szCs w:val="28"/>
        </w:rPr>
        <w:t>参赛选手不得触动非竞赛用仪器设备，对竞赛仪器设备造成损坏，由当事人承担赔偿责任（视情节而定），并通报批评；参赛选手若出现恶意破坏仪器设备等情节严重者将依法处理。</w:t>
      </w:r>
    </w:p>
    <w:p>
      <w:pPr>
        <w:spacing w:before="156" w:beforeLines="50" w:after="156" w:afterLines="50" w:line="360" w:lineRule="auto"/>
        <w:ind w:left="562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八、注意事项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1.参赛选手必须符合参赛资格，不得弄虚作假。在资格审查中一旦发现问题，将取消其报名资格；在比赛过程中发现问题，将取消其比赛资格；在比赛后发现问题，将取消其比赛成绩等。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2.参赛选手应遵守比赛规则，遵守赛场纪律，服从组委会的指挥和安排。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3.在比赛过程中，要严格按照安全规程进行操作，防止触电和损坏设备等事故发生。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default" w:ascii="仿宋" w:hAnsi="仿宋" w:eastAsia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4.未尽事宜由竞赛组委会负责解释。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宋体" w:hAnsi="宋体"/>
          <w:sz w:val="24"/>
        </w:rPr>
        <w:t>附表1</w:t>
      </w:r>
    </w:p>
    <w:p>
      <w:pPr>
        <w:spacing w:line="360" w:lineRule="auto"/>
        <w:jc w:val="center"/>
        <w:rPr>
          <w:rFonts w:ascii="仿宋" w:hAnsi="仿宋" w:eastAsia="仿宋"/>
          <w:sz w:val="24"/>
        </w:rPr>
      </w:pPr>
      <w:r>
        <w:rPr>
          <w:rFonts w:ascii="仿宋" w:hAnsi="仿宋" w:eastAsia="仿宋"/>
          <w:b/>
          <w:bCs/>
          <w:sz w:val="24"/>
        </w:rPr>
        <w:t xml:space="preserve">  </w:t>
      </w:r>
      <w:r>
        <w:rPr>
          <w:rFonts w:hint="eastAsia" w:ascii="仿宋" w:hAnsi="仿宋" w:eastAsia="仿宋"/>
          <w:b/>
          <w:bCs/>
          <w:sz w:val="24"/>
        </w:rPr>
        <w:t>选手自带工具清单（参考）</w:t>
      </w:r>
      <w:r>
        <w:rPr>
          <w:rFonts w:ascii="仿宋" w:hAnsi="仿宋" w:eastAsia="仿宋"/>
          <w:sz w:val="24"/>
        </w:rPr>
        <w:t xml:space="preserve">                 </w:t>
      </w:r>
    </w:p>
    <w:tbl>
      <w:tblPr>
        <w:tblStyle w:val="2"/>
        <w:tblW w:w="84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365"/>
        <w:gridCol w:w="708"/>
        <w:gridCol w:w="4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序号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名称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数量</w:t>
            </w:r>
          </w:p>
        </w:tc>
        <w:tc>
          <w:tcPr>
            <w:tcW w:w="44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万用表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4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型号自定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剥线钳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4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剥线线径</w:t>
            </w:r>
            <w:r>
              <w:rPr>
                <w:rFonts w:eastAsia="仿宋"/>
                <w:sz w:val="24"/>
              </w:rPr>
              <w:t>0.3~2.0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断线钳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4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电工用</w:t>
            </w:r>
            <w:r>
              <w:rPr>
                <w:rFonts w:eastAsia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压线钳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4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针式端子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试电笔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4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耐压值不低于</w:t>
            </w:r>
            <w:r>
              <w:rPr>
                <w:rFonts w:eastAsia="仿宋"/>
                <w:sz w:val="24"/>
              </w:rPr>
              <w:t>1500V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“</w:t>
            </w:r>
            <w:r>
              <w:rPr>
                <w:rFonts w:hint="eastAsia" w:hAnsi="仿宋" w:eastAsia="仿宋"/>
                <w:sz w:val="24"/>
              </w:rPr>
              <w:t>一</w:t>
            </w:r>
            <w:r>
              <w:rPr>
                <w:rFonts w:eastAsia="仿宋"/>
                <w:sz w:val="24"/>
              </w:rPr>
              <w:t>”</w:t>
            </w:r>
            <w:r>
              <w:rPr>
                <w:rFonts w:hint="eastAsia" w:hAnsi="仿宋" w:eastAsia="仿宋"/>
                <w:sz w:val="24"/>
              </w:rPr>
              <w:t>字电工改锥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4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常规即可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“</w:t>
            </w:r>
            <w:r>
              <w:rPr>
                <w:rFonts w:hint="eastAsia" w:hAnsi="仿宋" w:eastAsia="仿宋"/>
                <w:sz w:val="24"/>
              </w:rPr>
              <w:t>十</w:t>
            </w:r>
            <w:r>
              <w:rPr>
                <w:rFonts w:eastAsia="仿宋"/>
                <w:sz w:val="24"/>
              </w:rPr>
              <w:t>”</w:t>
            </w:r>
            <w:r>
              <w:rPr>
                <w:rFonts w:hint="eastAsia" w:hAnsi="仿宋" w:eastAsia="仿宋"/>
                <w:sz w:val="24"/>
              </w:rPr>
              <w:t>字电工改锥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4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常规即可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8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防静电电烙铁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44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9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烙铁架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44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10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烙铁除锡高温海绵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44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11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松香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44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12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吸锡器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44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13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防静电镊子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44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14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桌面清洁毛刷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44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15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pacing w:line="400" w:lineRule="exact"/>
              <w:rPr>
                <w:sz w:val="24"/>
                <w:szCs w:val="28"/>
              </w:rPr>
            </w:pPr>
            <w:r>
              <w:rPr>
                <w:rFonts w:hint="eastAsia" w:hAnsi="仿宋" w:eastAsia="仿宋"/>
                <w:sz w:val="24"/>
              </w:rPr>
              <w:t>安全保护用品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4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鞋、衣、帽等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16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pacing w:line="400" w:lineRule="exact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文具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4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含圆珠笔、钢笔、铅笔、橡皮、三角板等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>备注</w:t>
            </w:r>
          </w:p>
        </w:tc>
        <w:tc>
          <w:tcPr>
            <w:tcW w:w="7504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hAnsi="仿宋" w:eastAsia="仿宋"/>
                <w:sz w:val="24"/>
                <w:lang w:val="en-US" w:eastAsia="zh-CN"/>
              </w:rPr>
            </w:pPr>
            <w:r>
              <w:rPr>
                <w:rFonts w:hint="eastAsia" w:hAnsi="仿宋" w:eastAsia="仿宋"/>
                <w:sz w:val="24"/>
                <w:lang w:val="en-US" w:eastAsia="zh-CN"/>
              </w:rPr>
              <w:t>1.以上未注明型号、规格的工具一般指电工常用工具；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hAnsi="仿宋" w:eastAsia="仿宋"/>
                <w:sz w:val="24"/>
                <w:lang w:val="en-US" w:eastAsia="zh-CN"/>
              </w:rPr>
            </w:pPr>
            <w:r>
              <w:rPr>
                <w:rFonts w:hint="eastAsia" w:hAnsi="仿宋" w:eastAsia="仿宋"/>
                <w:sz w:val="24"/>
                <w:lang w:val="en-US" w:eastAsia="zh-CN"/>
              </w:rPr>
              <w:t>2.比赛现场提供部分备用工具；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hAnsi="仿宋" w:eastAsia="仿宋"/>
                <w:sz w:val="24"/>
                <w:lang w:val="en-US" w:eastAsia="zh-CN"/>
              </w:rPr>
            </w:pPr>
            <w:r>
              <w:rPr>
                <w:rFonts w:hint="eastAsia" w:hAnsi="仿宋" w:eastAsia="仿宋"/>
                <w:sz w:val="24"/>
                <w:lang w:val="en-US" w:eastAsia="zh-CN"/>
              </w:rPr>
              <w:t>3.个别工具、设备有变动的，赛前以“竞赛公告”方式发布。</w:t>
            </w:r>
          </w:p>
        </w:tc>
      </w:tr>
    </w:tbl>
    <w:p>
      <w:pPr>
        <w:spacing w:line="360" w:lineRule="auto"/>
        <w:rPr>
          <w:rFonts w:ascii="宋体" w:hAnsi="宋体" w:cs="宋体"/>
          <w:color w:val="000000"/>
          <w:kern w:val="0"/>
          <w:sz w:val="24"/>
          <w:szCs w:val="28"/>
        </w:rPr>
      </w:pP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注：选手不可以使用电池驱动电动螺丝刀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73477"/>
    <w:rsid w:val="75F7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2022-11-21T00:51:00Z</dcterms:created>
  <dc:creator>Administrator</dc:creator>
  <cp:lastModifiedBy>Administrator</cp:lastModifiedBy>
  <dcterms:modified xsi:type="dcterms:W3CDTF">2022-11-21T00:51:26Z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F7163AFB3ADF45588D6ABF2F9C5A8C30</vt:lpwstr>
  </property>
</Properties>
</file>