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1.申请对象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（2019年1月1日后首次引进）</w:t>
      </w:r>
    </w:p>
    <w:tbl>
      <w:tblPr>
        <w:tblStyle w:val="3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2"/>
        <w:gridCol w:w="70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675" w:lineRule="atLeast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1"/>
                <w:szCs w:val="21"/>
                <w:lang w:val="en-US" w:eastAsia="zh-CN" w:bidi="ar"/>
              </w:rPr>
              <w:t>第一类人才</w:t>
            </w:r>
          </w:p>
        </w:tc>
        <w:tc>
          <w:tcPr>
            <w:tcW w:w="4175" w:type="pct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1. 区内企业（含园区引进的央企国企，但建筑房地产、 金融保险业和国有集体企业除外）新引进人才；</w:t>
            </w: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1"/>
                <w:szCs w:val="21"/>
                <w:lang w:val="en-US" w:eastAsia="zh-CN" w:bidi="ar"/>
              </w:rPr>
              <w:t>2. 新落户（2018 年 1 月 1 日后引进）优质民办医院学校新引进的全职人才；</w:t>
            </w: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1"/>
                <w:szCs w:val="21"/>
                <w:lang w:val="en-US" w:eastAsia="zh-CN" w:bidi="ar"/>
              </w:rPr>
              <w:t>3. 研究院所和律师事务所新引进全日制本科及以上人才；</w:t>
            </w: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1"/>
                <w:szCs w:val="21"/>
                <w:lang w:val="en-US" w:eastAsia="zh-CN" w:bidi="ar"/>
              </w:rPr>
              <w:t>4. 择优招聘的“双一流”高层次党政储备人才；</w:t>
            </w: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1"/>
                <w:szCs w:val="21"/>
                <w:lang w:val="en-US" w:eastAsia="zh-CN" w:bidi="ar"/>
              </w:rPr>
              <w:t>5. 上年度综合实力前 20 强建筑优势企业新引进人才；</w:t>
            </w: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1"/>
                <w:szCs w:val="21"/>
                <w:lang w:val="en-US" w:eastAsia="zh-CN" w:bidi="ar"/>
              </w:rPr>
              <w:t>6. 卫生医疗单位（参公事业单位除外） 新引进的临床医学类、 中医学类、 中西医结合类、公共卫生与预防医学类四大类的医学类全日制本科及以上毕业生（定向培养生除外）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675" w:lineRule="atLeast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1"/>
                <w:szCs w:val="21"/>
                <w:lang w:val="en-US" w:eastAsia="zh-CN" w:bidi="ar"/>
              </w:rPr>
              <w:t>第二类人才</w:t>
            </w:r>
          </w:p>
        </w:tc>
        <w:tc>
          <w:tcPr>
            <w:tcW w:w="4175" w:type="pct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1"/>
                <w:szCs w:val="21"/>
                <w:lang w:val="en-US" w:eastAsia="zh-CN" w:bidi="ar"/>
              </w:rPr>
              <w:t>1.区内建筑房地产、 金融保险业和国有集体企业（含社保省统筹但劳动合同、工资和个税在上虞单位）的人才；</w:t>
            </w: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1"/>
                <w:szCs w:val="21"/>
                <w:lang w:val="en-US" w:eastAsia="zh-CN" w:bidi="ar"/>
              </w:rPr>
              <w:t>2.定向招录的县乡机关选调生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675" w:lineRule="atLeast"/>
              <w:jc w:val="center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1"/>
                <w:szCs w:val="21"/>
                <w:lang w:val="en-US" w:eastAsia="zh-CN" w:bidi="ar"/>
              </w:rPr>
              <w:t>第三类人才</w:t>
            </w:r>
          </w:p>
        </w:tc>
        <w:tc>
          <w:tcPr>
            <w:tcW w:w="4175" w:type="pct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tLeast"/>
              <w:jc w:val="left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21"/>
                <w:szCs w:val="21"/>
                <w:lang w:val="en-US" w:eastAsia="zh-CN" w:bidi="ar"/>
              </w:rPr>
              <w:t>区内其他企事业单位（含民办非企业单位，但参公事业单位除外）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</w:rPr>
        <w:t>.申请材料：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首次申报：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1.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</w:rPr>
        <w:t>人才承诺及所在单位意见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表、汇总表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  <w:t>（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申请当月由单位人事提交纸质版到人社局二楼人才中心窗口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  <w:t>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2.上传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  <w:t>用人单位劳动合同或事业单位聘用合同（选调生除外）原件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扫描件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  <w:t>；如属创业人员的，提供营业执照和企业纳税清单；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3.上传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  <w:t>全日制普通高校毕业证书、学位证书（海外留学人员学历需经国家教育部门认证）等人才类别证明材料原件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扫描件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  <w:t>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4.上传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  <w:t>申请人身份证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扫描件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  <w:t>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微软雅黑" w:hAnsi="微软雅黑" w:eastAsia="微软雅黑" w:cs="微软雅黑"/>
          <w:color w:val="333333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5.上传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  <w:t>通过银行发放的工资清单或个税缴纳证明一份。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  <w:t>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一季度申报提供上一年3月至今年2月，以此类推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  <w:t>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非首次申报：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1.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</w:rPr>
        <w:t>人才承诺及所在单位意见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表、汇总表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  <w:t>（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申请当月由单位人事提交纸质版到人社局二楼人才中心窗口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  <w:t>）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rightChars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2.上传通过银行发放的工资清单或个税缴纳证明一份。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  <w:t>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一季度申报提供上一年3月至今年2月，以此类推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  <w:t>）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3.上传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  <w:t>申请人身份证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扫描件或复印件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  <w:t>；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rightChars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4.如有单位变更的需上传原单位解聘证明和新单位劳动合同。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rightChars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rightChars="0"/>
        <w:jc w:val="left"/>
        <w:rPr>
          <w:rFonts w:hint="default" w:ascii="微软雅黑" w:hAnsi="微软雅黑" w:eastAsia="微软雅黑" w:cs="微软雅黑"/>
          <w:i w:val="0"/>
          <w:iCs w:val="0"/>
          <w:caps w:val="0"/>
          <w:color w:val="FF0000"/>
          <w:spacing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1"/>
          <w:szCs w:val="21"/>
          <w:lang w:val="en-US" w:eastAsia="zh-CN"/>
        </w:rPr>
        <w:t>注：工业百强企业补贴金额上浮20%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xZWFhYTllOTgzYjBmYmNmZWVlZjY2ZGZkNWM2NzMifQ=="/>
  </w:docVars>
  <w:rsids>
    <w:rsidRoot w:val="45DF34E2"/>
    <w:rsid w:val="0AF5666A"/>
    <w:rsid w:val="0F9C5103"/>
    <w:rsid w:val="108D6AEF"/>
    <w:rsid w:val="20D46E30"/>
    <w:rsid w:val="37F214A2"/>
    <w:rsid w:val="382501A9"/>
    <w:rsid w:val="45DF34E2"/>
    <w:rsid w:val="4FAC4C08"/>
    <w:rsid w:val="586B1520"/>
    <w:rsid w:val="591D58D4"/>
    <w:rsid w:val="5F076EC8"/>
    <w:rsid w:val="5F3C5C05"/>
    <w:rsid w:val="722B2ECC"/>
    <w:rsid w:val="77553898"/>
    <w:rsid w:val="7C5B03E7"/>
    <w:rsid w:val="7FB14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729</Words>
  <Characters>757</Characters>
  <Lines>0</Lines>
  <Paragraphs>0</Paragraphs>
  <TotalTime>0</TotalTime>
  <ScaleCrop>false</ScaleCrop>
  <LinksUpToDate>false</LinksUpToDate>
  <CharactersWithSpaces>775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2022-02-23T06:57:00Z</dcterms:created>
  <dc:creator>d</dc:creator>
  <cp:lastModifiedBy>Administrator</cp:lastModifiedBy>
  <dcterms:modified xsi:type="dcterms:W3CDTF">2023-02-28T01:07:20Z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8CBB9A7F05794C3EA421D6A788274C25</vt:lpwstr>
  </property>
</Properties>
</file>