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before="435" w:beforeLines="100" w:after="435" w:afterLines="100" w:line="580" w:lineRule="exact"/>
        <w:jc w:val="left"/>
        <w:textAlignment w:val="auto"/>
        <w:rPr>
          <w:rFonts w:hint="eastAsia" w:ascii="宋体" w:hAnsi="宋体" w:eastAsia="宋体" w:cs="宋体"/>
          <w:bCs/>
          <w:color w:val="000000"/>
          <w:szCs w:val="32"/>
        </w:rPr>
      </w:pPr>
      <w:r>
        <w:rPr>
          <w:rFonts w:hint="eastAsia" w:ascii="宋体" w:hAnsi="宋体" w:eastAsia="宋体" w:cs="宋体"/>
          <w:bCs/>
          <w:color w:val="000000"/>
          <w:szCs w:val="32"/>
        </w:rPr>
        <w:t>附件1</w:t>
      </w:r>
    </w:p>
    <w:p>
      <w:pPr>
        <w:keepNext w:val="0"/>
        <w:keepLines w:val="0"/>
        <w:pageBreakBefore w:val="0"/>
        <w:widowControl/>
        <w:kinsoku/>
        <w:wordWrap/>
        <w:overflowPunct/>
        <w:topLinePunct w:val="0"/>
        <w:autoSpaceDE/>
        <w:autoSpaceDN/>
        <w:bidi w:val="0"/>
        <w:spacing w:before="217" w:beforeLines="50" w:after="217" w:afterLines="50" w:line="580" w:lineRule="exact"/>
        <w:ind w:right="150" w:rightChars="47" w:firstLine="883" w:firstLineChars="200"/>
        <w:jc w:val="center"/>
        <w:textAlignment w:val="auto"/>
        <w:rPr>
          <w:rFonts w:hint="eastAsia" w:ascii="Times New Roman" w:hAnsi="Times New Roman" w:eastAsia="宋体"/>
          <w:b/>
          <w:color w:val="000000"/>
          <w:sz w:val="44"/>
          <w:szCs w:val="44"/>
        </w:rPr>
      </w:pPr>
      <w:r>
        <w:rPr>
          <w:rFonts w:hint="eastAsia" w:ascii="Times New Roman" w:hAnsi="Times New Roman" w:eastAsia="宋体"/>
          <w:b/>
          <w:color w:val="000000"/>
          <w:sz w:val="44"/>
          <w:szCs w:val="44"/>
        </w:rPr>
        <w:t>202</w:t>
      </w:r>
      <w:r>
        <w:rPr>
          <w:rFonts w:ascii="Times New Roman" w:hAnsi="Times New Roman" w:eastAsia="宋体"/>
          <w:b/>
          <w:color w:val="000000"/>
          <w:sz w:val="44"/>
          <w:szCs w:val="44"/>
        </w:rPr>
        <w:t>4</w:t>
      </w:r>
      <w:r>
        <w:rPr>
          <w:rFonts w:hint="eastAsia" w:ascii="Times New Roman" w:hAnsi="Times New Roman" w:eastAsia="宋体"/>
          <w:b/>
          <w:color w:val="000000"/>
          <w:sz w:val="44"/>
          <w:szCs w:val="44"/>
        </w:rPr>
        <w:t>年绍兴市职业技能竞赛</w:t>
      </w:r>
    </w:p>
    <w:p>
      <w:pPr>
        <w:keepNext w:val="0"/>
        <w:keepLines w:val="0"/>
        <w:pageBreakBefore w:val="0"/>
        <w:widowControl/>
        <w:kinsoku/>
        <w:wordWrap/>
        <w:overflowPunct/>
        <w:topLinePunct w:val="0"/>
        <w:autoSpaceDE/>
        <w:autoSpaceDN/>
        <w:bidi w:val="0"/>
        <w:spacing w:before="217" w:beforeLines="50" w:after="217" w:afterLines="50" w:line="580" w:lineRule="exact"/>
        <w:ind w:right="150" w:rightChars="47"/>
        <w:jc w:val="center"/>
        <w:textAlignment w:val="auto"/>
        <w:rPr>
          <w:rFonts w:hint="eastAsia" w:ascii="Times New Roman" w:hAnsi="Times New Roman" w:eastAsia="宋体"/>
          <w:b/>
          <w:color w:val="000000"/>
          <w:sz w:val="44"/>
          <w:szCs w:val="44"/>
        </w:rPr>
      </w:pPr>
      <w:r>
        <w:rPr>
          <w:rFonts w:hint="eastAsia" w:ascii="Times New Roman" w:hAnsi="Times New Roman" w:eastAsia="宋体"/>
          <w:b/>
          <w:color w:val="000000"/>
          <w:sz w:val="44"/>
          <w:szCs w:val="44"/>
        </w:rPr>
        <w:t xml:space="preserve">  </w:t>
      </w:r>
      <w:r>
        <w:rPr>
          <w:rFonts w:hint="eastAsia" w:ascii="Times New Roman" w:hAnsi="Times New Roman" w:eastAsia="宋体"/>
          <w:b/>
          <w:color w:val="000000"/>
          <w:sz w:val="44"/>
          <w:szCs w:val="44"/>
          <w:lang w:val="en-US" w:eastAsia="zh-CN"/>
        </w:rPr>
        <w:t>信息通信网络</w:t>
      </w:r>
      <w:r>
        <w:rPr>
          <w:rFonts w:hint="eastAsia" w:ascii="Times New Roman" w:hAnsi="Times New Roman" w:eastAsia="宋体"/>
          <w:b/>
          <w:color w:val="000000"/>
          <w:sz w:val="44"/>
          <w:szCs w:val="44"/>
        </w:rPr>
        <w:t>线务员项目技术文件</w:t>
      </w:r>
    </w:p>
    <w:p>
      <w:pPr>
        <w:keepNext w:val="0"/>
        <w:keepLines w:val="0"/>
        <w:pageBreakBefore w:val="0"/>
        <w:kinsoku/>
        <w:wordWrap/>
        <w:overflowPunct/>
        <w:topLinePunct w:val="0"/>
        <w:autoSpaceDE/>
        <w:autoSpaceDN/>
        <w:bidi w:val="0"/>
        <w:spacing w:line="580" w:lineRule="exact"/>
        <w:ind w:left="640"/>
        <w:textAlignment w:val="auto"/>
        <w:rPr>
          <w:rFonts w:hint="eastAsia" w:ascii="宋体" w:hAnsi="宋体" w:eastAsia="宋体" w:cs="宋体"/>
          <w:b/>
          <w:kern w:val="0"/>
          <w:szCs w:val="32"/>
        </w:rPr>
      </w:pPr>
      <w:r>
        <w:rPr>
          <w:rFonts w:hint="eastAsia" w:ascii="宋体" w:hAnsi="宋体" w:eastAsia="宋体" w:cs="宋体"/>
          <w:b/>
          <w:kern w:val="0"/>
          <w:szCs w:val="32"/>
        </w:rPr>
        <w:t>一、</w:t>
      </w:r>
      <w:r>
        <w:rPr>
          <w:rFonts w:hint="eastAsia" w:ascii="黑体" w:hAnsi="黑体" w:eastAsia="黑体" w:cs="黑体"/>
          <w:b w:val="0"/>
          <w:bCs/>
          <w:szCs w:val="32"/>
        </w:rPr>
        <w:t>赛项名称及类型</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赛项名称：智慧光网运维（线务员）</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竞赛类型：二类</w:t>
      </w:r>
    </w:p>
    <w:p>
      <w:pPr>
        <w:keepNext w:val="0"/>
        <w:keepLines w:val="0"/>
        <w:pageBreakBefore w:val="0"/>
        <w:kinsoku/>
        <w:wordWrap/>
        <w:overflowPunct/>
        <w:topLinePunct w:val="0"/>
        <w:autoSpaceDE/>
        <w:autoSpaceDN/>
        <w:bidi w:val="0"/>
        <w:spacing w:line="580" w:lineRule="exact"/>
        <w:ind w:left="640"/>
        <w:textAlignment w:val="auto"/>
        <w:rPr>
          <w:rFonts w:hint="eastAsia" w:ascii="宋体" w:hAnsi="宋体" w:eastAsia="宋体" w:cs="宋体"/>
          <w:b/>
          <w:kern w:val="0"/>
          <w:szCs w:val="32"/>
        </w:rPr>
      </w:pPr>
      <w:r>
        <w:rPr>
          <w:rFonts w:hint="eastAsia" w:ascii="宋体" w:hAnsi="宋体" w:eastAsia="宋体" w:cs="宋体"/>
          <w:b/>
          <w:kern w:val="0"/>
          <w:szCs w:val="32"/>
        </w:rPr>
        <w:t>二、</w:t>
      </w:r>
      <w:r>
        <w:rPr>
          <w:rFonts w:hint="eastAsia" w:ascii="黑体" w:hAnsi="黑体" w:eastAsia="黑体" w:cs="黑体"/>
          <w:b w:val="0"/>
          <w:bCs/>
          <w:szCs w:val="32"/>
        </w:rPr>
        <w:t>竞赛标准及目的</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通过竞赛促进各大运营商面向“互联网+”行业应用进一步优化人员技术水平、提高企业运营能力、创新服务模式、深化校企合作。考查参赛选手对</w:t>
      </w:r>
      <w:bookmarkStart w:id="0" w:name="_Hlk161583030"/>
      <w:r>
        <w:rPr>
          <w:rFonts w:hint="eastAsia" w:ascii="仿宋_GB2312" w:hAnsi="Times New Roman" w:cs="Times New Roman"/>
          <w:color w:val="auto"/>
          <w:sz w:val="32"/>
          <w:szCs w:val="32"/>
        </w:rPr>
        <w:t>光纤网络维护技能相关理论</w:t>
      </w:r>
      <w:bookmarkEnd w:id="0"/>
      <w:r>
        <w:rPr>
          <w:rFonts w:hint="eastAsia" w:ascii="仿宋_GB2312" w:hAnsi="Times New Roman" w:cs="Times New Roman"/>
          <w:color w:val="auto"/>
          <w:sz w:val="32"/>
          <w:szCs w:val="32"/>
        </w:rPr>
        <w:t>的认识程度，提高通信线务员实际操作能力，大力弘扬劳模精神、工匠精神，助力我市网络强国战略和乡村振兴战略的实施。同时兼顾考查参赛选手的质量、效率、成本和规范意识。</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通过竞赛，适应国家产业结构调整和产业数字化发展对新型智能家居应用技术人才的需求，引导各运营企业关注绿色、安全、智能的智能家居技术发展趋势和产业应用方向，增强运营企业的市场竞争力。</w:t>
      </w:r>
    </w:p>
    <w:p>
      <w:pPr>
        <w:keepNext w:val="0"/>
        <w:keepLines w:val="0"/>
        <w:pageBreakBefore w:val="0"/>
        <w:kinsoku/>
        <w:wordWrap/>
        <w:overflowPunct/>
        <w:topLinePunct w:val="0"/>
        <w:autoSpaceDE/>
        <w:autoSpaceDN/>
        <w:bidi w:val="0"/>
        <w:spacing w:line="580" w:lineRule="exact"/>
        <w:ind w:left="640"/>
        <w:textAlignment w:val="auto"/>
        <w:rPr>
          <w:rFonts w:hint="eastAsia" w:ascii="宋体" w:hAnsi="宋体" w:eastAsia="宋体" w:cs="宋体"/>
          <w:b/>
          <w:kern w:val="0"/>
          <w:szCs w:val="32"/>
        </w:rPr>
      </w:pPr>
      <w:r>
        <w:rPr>
          <w:rFonts w:hint="eastAsia" w:ascii="宋体" w:hAnsi="宋体" w:eastAsia="宋体" w:cs="宋体"/>
          <w:b/>
          <w:kern w:val="0"/>
          <w:szCs w:val="32"/>
        </w:rPr>
        <w:t>三、</w:t>
      </w:r>
      <w:r>
        <w:rPr>
          <w:rFonts w:hint="eastAsia" w:ascii="黑体" w:hAnsi="黑体" w:eastAsia="黑体" w:cs="黑体"/>
          <w:b w:val="0"/>
          <w:bCs/>
          <w:szCs w:val="32"/>
        </w:rPr>
        <w:t>竞赛方式、时间与成绩计算</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（一）竞赛方式</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 xml:space="preserve"> 竞赛包括理论知识和实际操作两部分，均由1名选手独立完成。赛场的工位号由参赛选手现场抽签决定。</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（二）竞赛时间及成绩计算</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1</w:t>
      </w:r>
      <w:r>
        <w:rPr>
          <w:rFonts w:hint="eastAsia" w:ascii="仿宋_GB2312" w:hAnsi="Times New Roman" w:cs="Times New Roman"/>
          <w:color w:val="auto"/>
          <w:sz w:val="32"/>
          <w:szCs w:val="32"/>
          <w:lang w:eastAsia="zh-CN"/>
        </w:rPr>
        <w:t>.</w:t>
      </w:r>
      <w:r>
        <w:rPr>
          <w:rFonts w:hint="eastAsia" w:ascii="仿宋_GB2312" w:hAnsi="Times New Roman" w:cs="Times New Roman"/>
          <w:color w:val="auto"/>
          <w:sz w:val="32"/>
          <w:szCs w:val="32"/>
        </w:rPr>
        <w:t>整个比赛分</w:t>
      </w:r>
      <w:r>
        <w:rPr>
          <w:rFonts w:hint="eastAsia" w:ascii="仿宋_GB2312" w:hAnsi="Times New Roman" w:cs="Times New Roman"/>
          <w:color w:val="auto"/>
          <w:sz w:val="32"/>
          <w:szCs w:val="32"/>
          <w:lang w:val="en-US" w:eastAsia="zh-CN"/>
        </w:rPr>
        <w:t>理论考试和实操考试</w:t>
      </w:r>
      <w:r>
        <w:rPr>
          <w:rFonts w:hint="eastAsia" w:ascii="仿宋_GB2312" w:hAnsi="Times New Roman" w:cs="Times New Roman"/>
          <w:color w:val="auto"/>
          <w:sz w:val="32"/>
          <w:szCs w:val="32"/>
        </w:rPr>
        <w:t>，分别为理论考试</w:t>
      </w:r>
      <w:r>
        <w:rPr>
          <w:rFonts w:hint="eastAsia" w:ascii="仿宋_GB2312" w:hAnsi="Times New Roman" w:cs="Times New Roman"/>
          <w:color w:val="auto"/>
          <w:sz w:val="32"/>
          <w:szCs w:val="32"/>
          <w:lang w:val="en-US" w:eastAsia="zh-CN"/>
        </w:rPr>
        <w:t>100分</w:t>
      </w:r>
      <w:r>
        <w:rPr>
          <w:rFonts w:hint="eastAsia" w:ascii="仿宋_GB2312" w:hAnsi="Times New Roman" w:cs="Times New Roman"/>
          <w:color w:val="auto"/>
          <w:sz w:val="32"/>
          <w:szCs w:val="32"/>
        </w:rPr>
        <w:t>、要求在</w:t>
      </w:r>
      <w:r>
        <w:rPr>
          <w:rFonts w:hint="eastAsia" w:ascii="仿宋_GB2312" w:hAnsi="Times New Roman" w:cs="Times New Roman"/>
          <w:color w:val="auto"/>
          <w:sz w:val="32"/>
          <w:szCs w:val="32"/>
          <w:lang w:val="en-US" w:eastAsia="zh-CN"/>
        </w:rPr>
        <w:t>6</w:t>
      </w:r>
      <w:r>
        <w:rPr>
          <w:rFonts w:hint="eastAsia" w:ascii="仿宋_GB2312" w:hAnsi="Times New Roman" w:cs="Times New Roman"/>
          <w:color w:val="auto"/>
          <w:sz w:val="32"/>
          <w:szCs w:val="32"/>
        </w:rPr>
        <w:t>0分钟内完成</w:t>
      </w:r>
      <w:r>
        <w:rPr>
          <w:rFonts w:hint="eastAsia" w:ascii="仿宋_GB2312" w:hAnsi="Times New Roman" w:cs="Times New Roman"/>
          <w:color w:val="auto"/>
          <w:sz w:val="32"/>
          <w:szCs w:val="32"/>
          <w:lang w:eastAsia="zh-CN"/>
        </w:rPr>
        <w:t>，</w:t>
      </w:r>
      <w:r>
        <w:rPr>
          <w:rFonts w:hint="eastAsia" w:ascii="仿宋_GB2312" w:hAnsi="Times New Roman" w:cs="Times New Roman"/>
          <w:color w:val="auto"/>
          <w:sz w:val="32"/>
          <w:szCs w:val="32"/>
          <w:lang w:val="en-US" w:eastAsia="zh-CN"/>
        </w:rPr>
        <w:t>实操考场分两个项目，其中项目一实操题100分，要求在60分钟内完成，</w:t>
      </w:r>
      <w:r>
        <w:rPr>
          <w:rFonts w:hint="eastAsia" w:ascii="仿宋_GB2312" w:hAnsi="Times New Roman" w:cs="Times New Roman"/>
          <w:color w:val="auto"/>
          <w:sz w:val="32"/>
          <w:szCs w:val="32"/>
        </w:rPr>
        <w:t>项目二12芯光缆接续</w:t>
      </w:r>
      <w:r>
        <w:rPr>
          <w:rFonts w:hint="eastAsia" w:ascii="仿宋_GB2312" w:hAnsi="Times New Roman" w:cs="Times New Roman"/>
          <w:color w:val="auto"/>
          <w:sz w:val="32"/>
          <w:szCs w:val="32"/>
          <w:lang w:val="en-US" w:eastAsia="zh-CN"/>
        </w:rPr>
        <w:t>操作100分，</w:t>
      </w:r>
      <w:r>
        <w:rPr>
          <w:rFonts w:hint="eastAsia" w:ascii="仿宋_GB2312" w:hAnsi="Times New Roman" w:cs="Times New Roman"/>
          <w:color w:val="auto"/>
          <w:sz w:val="32"/>
          <w:szCs w:val="32"/>
        </w:rPr>
        <w:t>要求在30分钟内完成。个人总成绩前18名进入项目二实操技能考核。</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2</w:t>
      </w:r>
      <w:r>
        <w:rPr>
          <w:rFonts w:hint="eastAsia" w:ascii="仿宋_GB2312" w:hAnsi="Times New Roman" w:cs="Times New Roman"/>
          <w:color w:val="auto"/>
          <w:sz w:val="32"/>
          <w:szCs w:val="32"/>
          <w:lang w:eastAsia="zh-CN"/>
        </w:rPr>
        <w:t>.</w:t>
      </w:r>
      <w:r>
        <w:rPr>
          <w:rFonts w:hint="eastAsia" w:ascii="仿宋_GB2312" w:hAnsi="Times New Roman" w:cs="Times New Roman"/>
          <w:color w:val="auto"/>
          <w:sz w:val="32"/>
          <w:szCs w:val="32"/>
        </w:rPr>
        <w:t xml:space="preserve">个人总成绩 = </w:t>
      </w:r>
      <w:r>
        <w:rPr>
          <w:rFonts w:hint="eastAsia" w:ascii="仿宋_GB2312" w:hAnsi="Times New Roman" w:cs="Times New Roman"/>
          <w:color w:val="auto"/>
          <w:sz w:val="32"/>
          <w:szCs w:val="32"/>
          <w:lang w:val="en-US" w:eastAsia="zh-CN"/>
        </w:rPr>
        <w:t>3</w:t>
      </w:r>
      <w:r>
        <w:rPr>
          <w:rFonts w:hint="eastAsia" w:ascii="仿宋_GB2312" w:hAnsi="Times New Roman" w:cs="Times New Roman"/>
          <w:color w:val="auto"/>
          <w:sz w:val="32"/>
          <w:szCs w:val="32"/>
        </w:rPr>
        <w:t>0%*</w:t>
      </w:r>
      <w:r>
        <w:rPr>
          <w:rFonts w:hint="eastAsia" w:ascii="仿宋_GB2312" w:hAnsi="Times New Roman" w:cs="Times New Roman"/>
          <w:color w:val="auto"/>
          <w:sz w:val="32"/>
          <w:szCs w:val="32"/>
          <w:lang w:val="en-US" w:eastAsia="zh-CN"/>
        </w:rPr>
        <w:t>理论成绩</w:t>
      </w:r>
      <w:r>
        <w:rPr>
          <w:rFonts w:hint="eastAsia" w:ascii="仿宋_GB2312" w:hAnsi="Times New Roman" w:cs="Times New Roman"/>
          <w:color w:val="auto"/>
          <w:sz w:val="32"/>
          <w:szCs w:val="32"/>
        </w:rPr>
        <w:t xml:space="preserve"> + </w:t>
      </w:r>
      <w:r>
        <w:rPr>
          <w:rFonts w:hint="eastAsia" w:ascii="仿宋_GB2312" w:hAnsi="Times New Roman" w:cs="Times New Roman"/>
          <w:color w:val="auto"/>
          <w:sz w:val="32"/>
          <w:szCs w:val="32"/>
          <w:lang w:val="en-US" w:eastAsia="zh-CN"/>
        </w:rPr>
        <w:t>7</w:t>
      </w:r>
      <w:r>
        <w:rPr>
          <w:rFonts w:hint="eastAsia" w:ascii="仿宋_GB2312" w:hAnsi="Times New Roman" w:cs="Times New Roman"/>
          <w:color w:val="auto"/>
          <w:sz w:val="32"/>
          <w:szCs w:val="32"/>
        </w:rPr>
        <w:t>0%*项目</w:t>
      </w:r>
      <w:r>
        <w:rPr>
          <w:rFonts w:hint="eastAsia" w:ascii="仿宋_GB2312" w:hAnsi="Times New Roman" w:cs="Times New Roman"/>
          <w:color w:val="auto"/>
          <w:sz w:val="32"/>
          <w:szCs w:val="32"/>
          <w:lang w:val="en-US" w:eastAsia="zh-CN"/>
        </w:rPr>
        <w:t>一成绩</w:t>
      </w:r>
      <w:r>
        <w:rPr>
          <w:rFonts w:hint="eastAsia" w:ascii="仿宋_GB2312" w:hAnsi="Times New Roman" w:cs="Times New Roman"/>
          <w:color w:val="auto"/>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lang w:val="en-US" w:eastAsia="zh-CN"/>
        </w:rPr>
      </w:pPr>
      <w:r>
        <w:rPr>
          <w:rFonts w:hint="eastAsia" w:ascii="仿宋_GB2312" w:hAnsi="Times New Roman" w:cs="Times New Roman"/>
          <w:color w:val="auto"/>
          <w:sz w:val="32"/>
          <w:szCs w:val="32"/>
          <w:lang w:val="en-US" w:eastAsia="zh-CN"/>
        </w:rPr>
        <w:t>最总成绩</w:t>
      </w:r>
      <w:r>
        <w:rPr>
          <w:rFonts w:hint="eastAsia" w:ascii="仿宋_GB2312" w:hAnsi="Times New Roman" w:cs="Times New Roman"/>
          <w:color w:val="auto"/>
          <w:sz w:val="32"/>
          <w:szCs w:val="32"/>
        </w:rPr>
        <w:t>=</w:t>
      </w:r>
      <w:r>
        <w:rPr>
          <w:rFonts w:hint="eastAsia" w:ascii="仿宋_GB2312" w:hAnsi="Times New Roman" w:cs="Times New Roman"/>
          <w:color w:val="auto"/>
          <w:sz w:val="32"/>
          <w:szCs w:val="32"/>
          <w:lang w:val="en-US" w:eastAsia="zh-CN"/>
        </w:rPr>
        <w:t>3</w:t>
      </w:r>
      <w:r>
        <w:rPr>
          <w:rFonts w:hint="eastAsia" w:ascii="仿宋_GB2312" w:hAnsi="Times New Roman" w:cs="Times New Roman"/>
          <w:color w:val="auto"/>
          <w:sz w:val="32"/>
          <w:szCs w:val="32"/>
        </w:rPr>
        <w:t>0%*个人总成绩+</w:t>
      </w:r>
      <w:r>
        <w:rPr>
          <w:rFonts w:hint="eastAsia" w:ascii="仿宋_GB2312" w:hAnsi="Times New Roman" w:cs="Times New Roman"/>
          <w:color w:val="auto"/>
          <w:sz w:val="32"/>
          <w:szCs w:val="32"/>
          <w:lang w:val="en-US" w:eastAsia="zh-CN"/>
        </w:rPr>
        <w:t>7</w:t>
      </w:r>
      <w:r>
        <w:rPr>
          <w:rFonts w:hint="eastAsia" w:ascii="仿宋_GB2312" w:hAnsi="Times New Roman" w:cs="Times New Roman"/>
          <w:color w:val="auto"/>
          <w:sz w:val="32"/>
          <w:szCs w:val="32"/>
        </w:rPr>
        <w:t>0%*</w:t>
      </w:r>
      <w:r>
        <w:rPr>
          <w:rFonts w:hint="eastAsia" w:ascii="仿宋_GB2312" w:hAnsi="Times New Roman" w:cs="Times New Roman"/>
          <w:color w:val="auto"/>
          <w:sz w:val="32"/>
          <w:szCs w:val="32"/>
          <w:lang w:val="en-US" w:eastAsia="zh-CN"/>
        </w:rPr>
        <w:t>项目二</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3.成绩折算后，保留到小数点后2位，比赛总成绩相同者，</w:t>
      </w:r>
      <w:r>
        <w:rPr>
          <w:rFonts w:hint="eastAsia" w:ascii="仿宋_GB2312" w:hAnsi="Times New Roman" w:cs="Times New Roman"/>
          <w:color w:val="auto"/>
          <w:sz w:val="32"/>
          <w:szCs w:val="32"/>
          <w:lang w:val="en-US" w:eastAsia="zh-CN"/>
        </w:rPr>
        <w:t>项目二</w:t>
      </w:r>
      <w:r>
        <w:rPr>
          <w:rFonts w:hint="eastAsia" w:ascii="仿宋_GB2312" w:hAnsi="Times New Roman" w:cs="Times New Roman"/>
          <w:color w:val="auto"/>
          <w:sz w:val="32"/>
          <w:szCs w:val="32"/>
        </w:rPr>
        <w:t>成绩高者，名次在前。</w:t>
      </w:r>
    </w:p>
    <w:p>
      <w:pPr>
        <w:keepNext w:val="0"/>
        <w:keepLines w:val="0"/>
        <w:pageBreakBefore w:val="0"/>
        <w:kinsoku/>
        <w:wordWrap/>
        <w:overflowPunct/>
        <w:topLinePunct w:val="0"/>
        <w:autoSpaceDE/>
        <w:autoSpaceDN/>
        <w:bidi w:val="0"/>
        <w:spacing w:line="580" w:lineRule="exact"/>
        <w:ind w:left="640"/>
        <w:textAlignment w:val="auto"/>
        <w:rPr>
          <w:rFonts w:hint="eastAsia" w:ascii="宋体" w:hAnsi="宋体" w:eastAsia="宋体" w:cs="宋体"/>
          <w:b/>
          <w:kern w:val="0"/>
          <w:szCs w:val="32"/>
        </w:rPr>
      </w:pPr>
      <w:r>
        <w:rPr>
          <w:rFonts w:hint="eastAsia" w:ascii="宋体" w:hAnsi="宋体" w:eastAsia="宋体" w:cs="宋体"/>
          <w:b/>
          <w:kern w:val="0"/>
          <w:szCs w:val="32"/>
        </w:rPr>
        <w:t>四、</w:t>
      </w:r>
      <w:r>
        <w:rPr>
          <w:rFonts w:hint="eastAsia" w:ascii="黑体" w:hAnsi="黑体" w:eastAsia="黑体" w:cs="黑体"/>
          <w:b w:val="0"/>
          <w:bCs/>
          <w:szCs w:val="32"/>
        </w:rPr>
        <w:t>竞赛内容及范围</w:t>
      </w:r>
    </w:p>
    <w:p>
      <w:pPr>
        <w:keepNext w:val="0"/>
        <w:keepLines w:val="0"/>
        <w:pageBreakBefore w:val="0"/>
        <w:kinsoku/>
        <w:wordWrap/>
        <w:overflowPunct/>
        <w:topLinePunct w:val="0"/>
        <w:autoSpaceDE/>
        <w:autoSpaceDN/>
        <w:bidi w:val="0"/>
        <w:adjustRightInd w:val="0"/>
        <w:snapToGrid w:val="0"/>
        <w:spacing w:line="580" w:lineRule="exact"/>
        <w:ind w:firstLine="562" w:firstLineChars="200"/>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（一）理论知识部分</w:t>
      </w:r>
    </w:p>
    <w:p>
      <w:pPr>
        <w:keepNext w:val="0"/>
        <w:keepLines w:val="0"/>
        <w:pageBreakBefore w:val="0"/>
        <w:kinsoku/>
        <w:wordWrap/>
        <w:overflowPunct/>
        <w:topLinePunct w:val="0"/>
        <w:autoSpaceDE/>
        <w:autoSpaceDN/>
        <w:bidi w:val="0"/>
        <w:adjustRightInd w:val="0"/>
        <w:snapToGrid w:val="0"/>
        <w:spacing w:line="580" w:lineRule="exact"/>
        <w:ind w:firstLine="562" w:firstLineChars="200"/>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1.试题范围</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理论考试考核光纤网络维护技能所需相关理论的规范与技能，含光纤通信基础（主要包括光纤导光原理、光纤通信的特点、光纤的损耗特性和色散特性、光缆结构、种类和主要特性）、通信线路作业技术规范和安全技术（GB51158-2015《通信线路工程设计规范》、GB51171-2016《通信线路工程验收规范》、GB50846-2012《住宅区住宅建筑内光纤到户通信设施工程设计规范》、GB50847-2012《住宅区住宅建筑内光纤到户通信设施工程施工及验收规范》、YD 5201-2014 《通信建设工程安全生产操作规范》中的“工器具和仪表”、“通信线路工程”两个章节）等知识。</w:t>
      </w:r>
    </w:p>
    <w:p>
      <w:pPr>
        <w:keepNext w:val="0"/>
        <w:keepLines w:val="0"/>
        <w:pageBreakBefore w:val="0"/>
        <w:kinsoku/>
        <w:wordWrap/>
        <w:overflowPunct/>
        <w:topLinePunct w:val="0"/>
        <w:autoSpaceDE/>
        <w:autoSpaceDN/>
        <w:bidi w:val="0"/>
        <w:adjustRightInd w:val="0"/>
        <w:snapToGrid w:val="0"/>
        <w:spacing w:line="580" w:lineRule="exact"/>
        <w:ind w:firstLine="562" w:firstLineChars="200"/>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2.试题题型</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试题类型：单项选择题、多项选择题与判断题、操作题。其中理论单项选择题、多项选择题与判断题共100题（单选题每题1分，共70题，多项选择题每题2分，共10题，判断题每题0.5分，共20题，共100分）；操作题5题（每题20分，共100分）。</w:t>
      </w:r>
    </w:p>
    <w:p>
      <w:pPr>
        <w:keepNext w:val="0"/>
        <w:keepLines w:val="0"/>
        <w:pageBreakBefore w:val="0"/>
        <w:kinsoku/>
        <w:wordWrap/>
        <w:overflowPunct/>
        <w:topLinePunct w:val="0"/>
        <w:autoSpaceDE/>
        <w:autoSpaceDN/>
        <w:bidi w:val="0"/>
        <w:adjustRightInd w:val="0"/>
        <w:snapToGrid w:val="0"/>
        <w:spacing w:line="580" w:lineRule="exact"/>
        <w:ind w:firstLine="562" w:firstLineChars="200"/>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3.考试方式</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理论题机考 + 理论操作题写在答题纸上。</w:t>
      </w:r>
    </w:p>
    <w:p>
      <w:pPr>
        <w:keepNext w:val="0"/>
        <w:keepLines w:val="0"/>
        <w:pageBreakBefore w:val="0"/>
        <w:kinsoku/>
        <w:wordWrap/>
        <w:overflowPunct/>
        <w:topLinePunct w:val="0"/>
        <w:autoSpaceDE/>
        <w:autoSpaceDN/>
        <w:bidi w:val="0"/>
        <w:adjustRightInd w:val="0"/>
        <w:snapToGrid w:val="0"/>
        <w:spacing w:line="580" w:lineRule="exact"/>
        <w:ind w:firstLine="562" w:firstLineChars="200"/>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（二）实际操作竞赛</w:t>
      </w:r>
    </w:p>
    <w:p>
      <w:pPr>
        <w:keepNext w:val="0"/>
        <w:keepLines w:val="0"/>
        <w:pageBreakBefore w:val="0"/>
        <w:kinsoku/>
        <w:wordWrap/>
        <w:overflowPunct/>
        <w:topLinePunct w:val="0"/>
        <w:autoSpaceDE/>
        <w:autoSpaceDN/>
        <w:bidi w:val="0"/>
        <w:spacing w:line="580" w:lineRule="exact"/>
        <w:ind w:firstLine="562" w:firstLineChars="200"/>
        <w:textAlignment w:val="auto"/>
        <w:rPr>
          <w:rFonts w:ascii="宋体" w:hAnsi="宋体" w:eastAsia="宋体" w:cs="宋体"/>
          <w:b/>
          <w:sz w:val="28"/>
          <w:szCs w:val="28"/>
        </w:rPr>
      </w:pPr>
      <w:r>
        <w:rPr>
          <w:rFonts w:hint="eastAsia" w:ascii="宋体" w:hAnsi="宋体" w:eastAsia="宋体" w:cs="宋体"/>
          <w:b/>
          <w:sz w:val="28"/>
          <w:szCs w:val="28"/>
        </w:rPr>
        <w:t>项目：光缆接续</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①光缆及松套管开剥；</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②光缆及加强芯的固定；</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③光纤接续；</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④接头盒内光纤盘纤；</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⑤光缆接头盒封盒</w:t>
      </w:r>
    </w:p>
    <w:p>
      <w:pPr>
        <w:keepNext w:val="0"/>
        <w:keepLines w:val="0"/>
        <w:pageBreakBefore w:val="0"/>
        <w:kinsoku/>
        <w:wordWrap/>
        <w:overflowPunct/>
        <w:topLinePunct w:val="0"/>
        <w:autoSpaceDE/>
        <w:autoSpaceDN/>
        <w:bidi w:val="0"/>
        <w:spacing w:line="580" w:lineRule="exact"/>
        <w:ind w:left="640"/>
        <w:textAlignment w:val="auto"/>
        <w:rPr>
          <w:rFonts w:hint="eastAsia" w:ascii="宋体" w:hAnsi="宋体" w:eastAsia="宋体" w:cs="宋体"/>
          <w:b/>
          <w:kern w:val="0"/>
          <w:szCs w:val="32"/>
        </w:rPr>
      </w:pPr>
      <w:r>
        <w:rPr>
          <w:rFonts w:hint="eastAsia" w:ascii="宋体" w:hAnsi="宋体" w:eastAsia="宋体" w:cs="宋体"/>
          <w:b/>
          <w:kern w:val="0"/>
          <w:szCs w:val="32"/>
        </w:rPr>
        <w:t>五、</w:t>
      </w:r>
      <w:r>
        <w:rPr>
          <w:rFonts w:hint="eastAsia" w:ascii="黑体" w:hAnsi="黑体" w:eastAsia="黑体" w:cs="黑体"/>
          <w:b w:val="0"/>
          <w:bCs/>
          <w:szCs w:val="32"/>
        </w:rPr>
        <w:t>实践操作竞赛设备和器材</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竞赛场地与设备：</w:t>
      </w:r>
    </w:p>
    <w:p>
      <w:pPr>
        <w:widowControl/>
        <w:spacing w:line="360" w:lineRule="auto"/>
        <w:ind w:right="150" w:rightChars="47"/>
        <w:jc w:val="center"/>
        <w:rPr>
          <w:rFonts w:hint="eastAsia" w:ascii="宋体" w:hAnsi="宋体" w:eastAsia="宋体" w:cs="宋体"/>
          <w:bCs/>
        </w:rPr>
      </w:pPr>
      <w:r>
        <w:rPr>
          <w:rFonts w:ascii="宋体" w:hAnsi="宋体" w:eastAsia="宋体" w:cs="宋体"/>
          <w:bCs/>
        </w:rPr>
        <w:drawing>
          <wp:inline distT="0" distB="0" distL="114300" distR="114300">
            <wp:extent cx="3921125" cy="2830830"/>
            <wp:effectExtent l="0" t="0" r="3175" b="7620"/>
            <wp:docPr id="1" name="图片 1" descr="3d5f57b2cd5b3535f19796be20c6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d5f57b2cd5b3535f19796be20c6a25"/>
                    <pic:cNvPicPr>
                      <a:picLocks noChangeAspect="1"/>
                    </pic:cNvPicPr>
                  </pic:nvPicPr>
                  <pic:blipFill>
                    <a:blip r:embed="rId4"/>
                    <a:srcRect l="6412" t="36459" r="4507" b="11067"/>
                    <a:stretch>
                      <a:fillRect/>
                    </a:stretch>
                  </pic:blipFill>
                  <pic:spPr>
                    <a:xfrm>
                      <a:off x="0" y="0"/>
                      <a:ext cx="3921125" cy="2830830"/>
                    </a:xfrm>
                    <a:prstGeom prst="rect">
                      <a:avLst/>
                    </a:prstGeom>
                    <a:noFill/>
                    <a:ln w="9525">
                      <a:noFill/>
                    </a:ln>
                  </pic:spPr>
                </pic:pic>
              </a:graphicData>
            </a:graphic>
          </wp:inline>
        </w:drawing>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竞赛接续人员将甲、乙两段光缆按束管、纤芯色谱对应熔接。</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竞赛所需工器具由各参赛人员自带，也可使用承办方提供的备用工器具，耗材由承办方提供。耗材及备用工器具详细型号如下表所示：</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（1）备用工器具</w:t>
      </w:r>
    </w:p>
    <w:tbl>
      <w:tblPr>
        <w:tblStyle w:val="3"/>
        <w:tblW w:w="8364" w:type="dxa"/>
        <w:tblInd w:w="108" w:type="dxa"/>
        <w:tblLayout w:type="fixed"/>
        <w:tblCellMar>
          <w:top w:w="0" w:type="dxa"/>
          <w:left w:w="108" w:type="dxa"/>
          <w:bottom w:w="0" w:type="dxa"/>
          <w:right w:w="108" w:type="dxa"/>
        </w:tblCellMar>
      </w:tblPr>
      <w:tblGrid>
        <w:gridCol w:w="748"/>
        <w:gridCol w:w="1489"/>
        <w:gridCol w:w="883"/>
        <w:gridCol w:w="1536"/>
        <w:gridCol w:w="2602"/>
        <w:gridCol w:w="1106"/>
      </w:tblGrid>
      <w:tr>
        <w:tblPrEx>
          <w:tblLayout w:type="fixed"/>
          <w:tblCellMar>
            <w:top w:w="0" w:type="dxa"/>
            <w:left w:w="108" w:type="dxa"/>
            <w:bottom w:w="0" w:type="dxa"/>
            <w:right w:w="108" w:type="dxa"/>
          </w:tblCellMar>
        </w:tblPrEx>
        <w:trPr>
          <w:trHeight w:val="855" w:hRule="atLeast"/>
        </w:trPr>
        <w:tc>
          <w:tcPr>
            <w:tcW w:w="22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3F3F3F"/>
                <w:kern w:val="0"/>
                <w:sz w:val="24"/>
              </w:rPr>
            </w:pPr>
            <w:r>
              <w:rPr>
                <w:rFonts w:hint="eastAsia" w:ascii="宋体" w:hAnsi="宋体" w:eastAsia="宋体" w:cs="宋体"/>
                <w:b/>
                <w:bCs/>
                <w:color w:val="3F3F3F"/>
                <w:kern w:val="0"/>
                <w:sz w:val="24"/>
              </w:rPr>
              <w:t>工具类别</w:t>
            </w:r>
          </w:p>
        </w:tc>
        <w:tc>
          <w:tcPr>
            <w:tcW w:w="88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3F3F3F"/>
                <w:kern w:val="0"/>
                <w:sz w:val="24"/>
              </w:rPr>
            </w:pPr>
            <w:r>
              <w:rPr>
                <w:rFonts w:hint="eastAsia" w:ascii="宋体" w:hAnsi="宋体" w:eastAsia="宋体" w:cs="宋体"/>
                <w:b/>
                <w:bCs/>
                <w:color w:val="3F3F3F"/>
                <w:kern w:val="0"/>
                <w:sz w:val="24"/>
              </w:rPr>
              <w:t>厂商</w:t>
            </w:r>
          </w:p>
        </w:tc>
        <w:tc>
          <w:tcPr>
            <w:tcW w:w="153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3F3F3F"/>
                <w:kern w:val="0"/>
                <w:sz w:val="24"/>
              </w:rPr>
            </w:pPr>
            <w:r>
              <w:rPr>
                <w:rFonts w:hint="eastAsia" w:ascii="宋体" w:hAnsi="宋体" w:eastAsia="宋体" w:cs="宋体"/>
                <w:b/>
                <w:bCs/>
                <w:color w:val="3F3F3F"/>
                <w:kern w:val="0"/>
                <w:sz w:val="24"/>
              </w:rPr>
              <w:t>型号</w:t>
            </w:r>
          </w:p>
        </w:tc>
        <w:tc>
          <w:tcPr>
            <w:tcW w:w="26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3F3F3F"/>
                <w:kern w:val="0"/>
                <w:sz w:val="24"/>
              </w:rPr>
            </w:pPr>
            <w:r>
              <w:rPr>
                <w:rFonts w:hint="eastAsia" w:ascii="宋体" w:hAnsi="宋体" w:eastAsia="宋体" w:cs="宋体"/>
                <w:b/>
                <w:bCs/>
                <w:color w:val="3F3F3F"/>
                <w:kern w:val="0"/>
                <w:sz w:val="24"/>
              </w:rPr>
              <w:t>工具特性</w:t>
            </w:r>
          </w:p>
        </w:tc>
        <w:tc>
          <w:tcPr>
            <w:tcW w:w="110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3F3F3F"/>
                <w:kern w:val="0"/>
                <w:sz w:val="24"/>
              </w:rPr>
            </w:pPr>
            <w:r>
              <w:rPr>
                <w:rFonts w:hint="eastAsia" w:ascii="宋体" w:hAnsi="宋体" w:eastAsia="宋体" w:cs="宋体"/>
                <w:b/>
                <w:bCs/>
                <w:color w:val="3F3F3F"/>
                <w:kern w:val="0"/>
                <w:sz w:val="24"/>
              </w:rPr>
              <w:t>数量</w:t>
            </w:r>
          </w:p>
        </w:tc>
      </w:tr>
      <w:tr>
        <w:tblPrEx>
          <w:tblLayout w:type="fixed"/>
          <w:tblCellMar>
            <w:top w:w="0" w:type="dxa"/>
            <w:left w:w="108" w:type="dxa"/>
            <w:bottom w:w="0" w:type="dxa"/>
            <w:right w:w="108" w:type="dxa"/>
          </w:tblCellMar>
        </w:tblPrEx>
        <w:trPr>
          <w:trHeight w:val="540" w:hRule="atLeast"/>
        </w:trPr>
        <w:tc>
          <w:tcPr>
            <w:tcW w:w="74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仪器</w:t>
            </w:r>
          </w:p>
        </w:tc>
        <w:tc>
          <w:tcPr>
            <w:tcW w:w="148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熔接机</w:t>
            </w:r>
          </w:p>
        </w:tc>
        <w:tc>
          <w:tcPr>
            <w:tcW w:w="88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藤仓</w:t>
            </w:r>
          </w:p>
        </w:tc>
        <w:tc>
          <w:tcPr>
            <w:tcW w:w="15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ascii="宋体" w:hAnsi="宋体" w:eastAsia="宋体" w:cs="宋体"/>
                <w:sz w:val="24"/>
              </w:rPr>
              <w:t>60</w:t>
            </w:r>
            <w:r>
              <w:rPr>
                <w:rFonts w:hint="eastAsia" w:ascii="宋体" w:hAnsi="宋体" w:eastAsia="宋体" w:cs="宋体"/>
                <w:sz w:val="24"/>
              </w:rPr>
              <w:t>S或8</w:t>
            </w:r>
            <w:r>
              <w:rPr>
                <w:rFonts w:ascii="宋体" w:hAnsi="宋体" w:eastAsia="宋体" w:cs="宋体"/>
                <w:sz w:val="24"/>
              </w:rPr>
              <w:t>0</w:t>
            </w:r>
            <w:r>
              <w:rPr>
                <w:rFonts w:hint="eastAsia" w:ascii="宋体" w:hAnsi="宋体" w:eastAsia="宋体" w:cs="宋体"/>
                <w:sz w:val="24"/>
              </w:rPr>
              <w:t>S</w:t>
            </w:r>
          </w:p>
        </w:tc>
        <w:tc>
          <w:tcPr>
            <w:tcW w:w="260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含配套的切割刀</w:t>
            </w:r>
          </w:p>
        </w:tc>
        <w:tc>
          <w:tcPr>
            <w:tcW w:w="110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ascii="宋体" w:hAnsi="宋体" w:eastAsia="宋体" w:cs="宋体"/>
                <w:sz w:val="24"/>
              </w:rPr>
              <w:t>6</w:t>
            </w:r>
          </w:p>
        </w:tc>
      </w:tr>
      <w:tr>
        <w:tblPrEx>
          <w:tblLayout w:type="fixed"/>
          <w:tblCellMar>
            <w:top w:w="0" w:type="dxa"/>
            <w:left w:w="108" w:type="dxa"/>
            <w:bottom w:w="0" w:type="dxa"/>
            <w:right w:w="108" w:type="dxa"/>
          </w:tblCellMar>
        </w:tblPrEx>
        <w:trPr>
          <w:trHeight w:val="270" w:hRule="atLeast"/>
        </w:trPr>
        <w:tc>
          <w:tcPr>
            <w:tcW w:w="7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工具</w:t>
            </w:r>
          </w:p>
        </w:tc>
        <w:tc>
          <w:tcPr>
            <w:tcW w:w="148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米勒钳</w:t>
            </w:r>
          </w:p>
        </w:tc>
        <w:tc>
          <w:tcPr>
            <w:tcW w:w="88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w:t>
            </w:r>
          </w:p>
        </w:tc>
        <w:tc>
          <w:tcPr>
            <w:tcW w:w="15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w:t>
            </w:r>
          </w:p>
        </w:tc>
        <w:tc>
          <w:tcPr>
            <w:tcW w:w="260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标准版</w:t>
            </w:r>
          </w:p>
        </w:tc>
        <w:tc>
          <w:tcPr>
            <w:tcW w:w="110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6</w:t>
            </w:r>
          </w:p>
        </w:tc>
      </w:tr>
      <w:tr>
        <w:tblPrEx>
          <w:tblLayout w:type="fixed"/>
          <w:tblCellMar>
            <w:top w:w="0" w:type="dxa"/>
            <w:left w:w="108" w:type="dxa"/>
            <w:bottom w:w="0" w:type="dxa"/>
            <w:right w:w="108" w:type="dxa"/>
          </w:tblCellMar>
        </w:tblPrEx>
        <w:trPr>
          <w:trHeight w:val="270" w:hRule="atLeast"/>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rPr>
            </w:pPr>
          </w:p>
        </w:tc>
        <w:tc>
          <w:tcPr>
            <w:tcW w:w="148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剥线钳</w:t>
            </w:r>
          </w:p>
        </w:tc>
        <w:tc>
          <w:tcPr>
            <w:tcW w:w="88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w:t>
            </w:r>
          </w:p>
        </w:tc>
        <w:tc>
          <w:tcPr>
            <w:tcW w:w="15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w:t>
            </w:r>
          </w:p>
        </w:tc>
        <w:tc>
          <w:tcPr>
            <w:tcW w:w="260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标准版</w:t>
            </w:r>
          </w:p>
        </w:tc>
        <w:tc>
          <w:tcPr>
            <w:tcW w:w="110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6</w:t>
            </w:r>
          </w:p>
        </w:tc>
      </w:tr>
      <w:tr>
        <w:tblPrEx>
          <w:tblLayout w:type="fixed"/>
          <w:tblCellMar>
            <w:top w:w="0" w:type="dxa"/>
            <w:left w:w="108" w:type="dxa"/>
            <w:bottom w:w="0" w:type="dxa"/>
            <w:right w:w="108" w:type="dxa"/>
          </w:tblCellMar>
        </w:tblPrEx>
        <w:trPr>
          <w:trHeight w:val="270" w:hRule="atLeast"/>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rPr>
            </w:pPr>
          </w:p>
        </w:tc>
        <w:tc>
          <w:tcPr>
            <w:tcW w:w="148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剪刀</w:t>
            </w:r>
          </w:p>
        </w:tc>
        <w:tc>
          <w:tcPr>
            <w:tcW w:w="88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w:t>
            </w:r>
          </w:p>
        </w:tc>
        <w:tc>
          <w:tcPr>
            <w:tcW w:w="15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w:t>
            </w:r>
          </w:p>
        </w:tc>
        <w:tc>
          <w:tcPr>
            <w:tcW w:w="260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标准版</w:t>
            </w:r>
          </w:p>
        </w:tc>
        <w:tc>
          <w:tcPr>
            <w:tcW w:w="110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6</w:t>
            </w:r>
          </w:p>
        </w:tc>
      </w:tr>
      <w:tr>
        <w:tblPrEx>
          <w:tblLayout w:type="fixed"/>
          <w:tblCellMar>
            <w:top w:w="0" w:type="dxa"/>
            <w:left w:w="108" w:type="dxa"/>
            <w:bottom w:w="0" w:type="dxa"/>
            <w:right w:w="108" w:type="dxa"/>
          </w:tblCellMar>
        </w:tblPrEx>
        <w:trPr>
          <w:trHeight w:val="270" w:hRule="atLeast"/>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rPr>
            </w:pPr>
          </w:p>
        </w:tc>
        <w:tc>
          <w:tcPr>
            <w:tcW w:w="148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十字螺丝刀</w:t>
            </w:r>
          </w:p>
        </w:tc>
        <w:tc>
          <w:tcPr>
            <w:tcW w:w="88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w:t>
            </w:r>
          </w:p>
        </w:tc>
        <w:tc>
          <w:tcPr>
            <w:tcW w:w="15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w:t>
            </w:r>
          </w:p>
        </w:tc>
        <w:tc>
          <w:tcPr>
            <w:tcW w:w="260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w:t>
            </w:r>
          </w:p>
        </w:tc>
        <w:tc>
          <w:tcPr>
            <w:tcW w:w="110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6</w:t>
            </w:r>
          </w:p>
        </w:tc>
      </w:tr>
      <w:tr>
        <w:tblPrEx>
          <w:tblLayout w:type="fixed"/>
          <w:tblCellMar>
            <w:top w:w="0" w:type="dxa"/>
            <w:left w:w="108" w:type="dxa"/>
            <w:bottom w:w="0" w:type="dxa"/>
            <w:right w:w="108" w:type="dxa"/>
          </w:tblCellMar>
        </w:tblPrEx>
        <w:trPr>
          <w:trHeight w:val="270" w:hRule="atLeast"/>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rPr>
            </w:pPr>
          </w:p>
        </w:tc>
        <w:tc>
          <w:tcPr>
            <w:tcW w:w="148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p>
        </w:tc>
        <w:tc>
          <w:tcPr>
            <w:tcW w:w="88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p>
        </w:tc>
        <w:tc>
          <w:tcPr>
            <w:tcW w:w="15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p>
        </w:tc>
        <w:tc>
          <w:tcPr>
            <w:tcW w:w="260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p>
        </w:tc>
        <w:tc>
          <w:tcPr>
            <w:tcW w:w="110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p>
        </w:tc>
      </w:tr>
      <w:tr>
        <w:tblPrEx>
          <w:tblLayout w:type="fixed"/>
          <w:tblCellMar>
            <w:top w:w="0" w:type="dxa"/>
            <w:left w:w="108" w:type="dxa"/>
            <w:bottom w:w="0" w:type="dxa"/>
            <w:right w:w="108" w:type="dxa"/>
          </w:tblCellMar>
        </w:tblPrEx>
        <w:trPr>
          <w:trHeight w:val="270" w:hRule="atLeast"/>
        </w:trPr>
        <w:tc>
          <w:tcPr>
            <w:tcW w:w="74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rPr>
            </w:pPr>
          </w:p>
        </w:tc>
        <w:tc>
          <w:tcPr>
            <w:tcW w:w="148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电动工具</w:t>
            </w:r>
          </w:p>
        </w:tc>
        <w:tc>
          <w:tcPr>
            <w:tcW w:w="88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博士</w:t>
            </w:r>
          </w:p>
        </w:tc>
        <w:tc>
          <w:tcPr>
            <w:tcW w:w="153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ascii="宋体" w:hAnsi="宋体" w:eastAsia="宋体" w:cs="宋体"/>
                <w:sz w:val="24"/>
              </w:rPr>
              <w:t>GSR 120</w:t>
            </w:r>
          </w:p>
        </w:tc>
        <w:tc>
          <w:tcPr>
            <w:tcW w:w="260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12V充电式锂电手电钻</w:t>
            </w:r>
          </w:p>
        </w:tc>
        <w:tc>
          <w:tcPr>
            <w:tcW w:w="110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sz w:val="24"/>
              </w:rPr>
            </w:pPr>
            <w:r>
              <w:rPr>
                <w:rFonts w:hint="eastAsia" w:ascii="宋体" w:hAnsi="宋体" w:eastAsia="宋体" w:cs="宋体"/>
                <w:sz w:val="24"/>
              </w:rPr>
              <w:t>6</w:t>
            </w:r>
          </w:p>
        </w:tc>
      </w:tr>
    </w:tbl>
    <w:p>
      <w:pPr>
        <w:adjustRightInd w:val="0"/>
        <w:snapToGrid w:val="0"/>
        <w:spacing w:line="360" w:lineRule="auto"/>
        <w:ind w:firstLine="440" w:firstLineChars="200"/>
        <w:rPr>
          <w:rFonts w:hint="eastAsia" w:ascii="宋体" w:hAnsi="宋体" w:eastAsia="宋体" w:cs="宋体"/>
          <w:sz w:val="22"/>
        </w:rPr>
      </w:pP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（2）主要耗材</w:t>
      </w:r>
    </w:p>
    <w:tbl>
      <w:tblPr>
        <w:tblStyle w:val="3"/>
        <w:tblW w:w="8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5"/>
        <w:gridCol w:w="2583"/>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2615" w:type="dxa"/>
            <w:vAlign w:val="center"/>
          </w:tcPr>
          <w:p>
            <w:pPr>
              <w:jc w:val="center"/>
              <w:rPr>
                <w:rFonts w:hint="eastAsia" w:ascii="宋体" w:hAnsi="宋体" w:eastAsia="宋体" w:cs="宋体"/>
                <w:sz w:val="24"/>
              </w:rPr>
            </w:pPr>
            <w:r>
              <w:rPr>
                <w:rFonts w:hint="eastAsia" w:ascii="宋体" w:hAnsi="宋体" w:eastAsia="宋体" w:cs="宋体"/>
                <w:b/>
                <w:bCs/>
                <w:sz w:val="24"/>
              </w:rPr>
              <w:t>耗材类别</w:t>
            </w:r>
          </w:p>
        </w:tc>
        <w:tc>
          <w:tcPr>
            <w:tcW w:w="2583" w:type="dxa"/>
            <w:vAlign w:val="center"/>
          </w:tcPr>
          <w:p>
            <w:pPr>
              <w:jc w:val="center"/>
              <w:rPr>
                <w:rFonts w:hint="eastAsia" w:ascii="宋体" w:hAnsi="宋体" w:eastAsia="宋体" w:cs="宋体"/>
                <w:sz w:val="24"/>
              </w:rPr>
            </w:pPr>
            <w:r>
              <w:rPr>
                <w:rFonts w:hint="eastAsia" w:ascii="宋体" w:hAnsi="宋体" w:eastAsia="宋体" w:cs="宋体"/>
                <w:b/>
                <w:bCs/>
                <w:sz w:val="24"/>
              </w:rPr>
              <w:t>型号</w:t>
            </w:r>
          </w:p>
        </w:tc>
        <w:tc>
          <w:tcPr>
            <w:tcW w:w="1559" w:type="dxa"/>
            <w:vAlign w:val="center"/>
          </w:tcPr>
          <w:p>
            <w:pPr>
              <w:jc w:val="center"/>
              <w:rPr>
                <w:rFonts w:hint="eastAsia" w:ascii="宋体" w:hAnsi="宋体" w:eastAsia="宋体" w:cs="宋体"/>
                <w:b/>
                <w:sz w:val="24"/>
              </w:rPr>
            </w:pPr>
            <w:r>
              <w:rPr>
                <w:rFonts w:hint="eastAsia" w:ascii="宋体" w:hAnsi="宋体" w:eastAsia="宋体" w:cs="宋体"/>
                <w:b/>
                <w:sz w:val="24"/>
              </w:rPr>
              <w:t>特性</w:t>
            </w:r>
          </w:p>
        </w:tc>
        <w:tc>
          <w:tcPr>
            <w:tcW w:w="1559" w:type="dxa"/>
            <w:vAlign w:val="center"/>
          </w:tcPr>
          <w:p>
            <w:pPr>
              <w:jc w:val="center"/>
              <w:rPr>
                <w:rFonts w:hint="eastAsia" w:ascii="宋体" w:hAnsi="宋体" w:eastAsia="宋体" w:cs="宋体"/>
                <w:b/>
                <w:sz w:val="24"/>
              </w:rPr>
            </w:pPr>
            <w:r>
              <w:rPr>
                <w:rFonts w:hint="eastAsia" w:ascii="宋体" w:hAnsi="宋体" w:eastAsia="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615" w:type="dxa"/>
            <w:vAlign w:val="top"/>
          </w:tcPr>
          <w:p>
            <w:pPr>
              <w:jc w:val="center"/>
              <w:rPr>
                <w:rFonts w:hint="eastAsia" w:ascii="宋体" w:hAnsi="宋体" w:eastAsia="宋体" w:cs="宋体"/>
                <w:sz w:val="24"/>
              </w:rPr>
            </w:pPr>
            <w:r>
              <w:rPr>
                <w:rFonts w:hint="eastAsia" w:ascii="宋体" w:hAnsi="宋体" w:eastAsia="宋体" w:cs="宋体"/>
                <w:sz w:val="24"/>
              </w:rPr>
              <w:t>热缩管</w:t>
            </w:r>
          </w:p>
        </w:tc>
        <w:tc>
          <w:tcPr>
            <w:tcW w:w="2583" w:type="dxa"/>
            <w:vAlign w:val="top"/>
          </w:tcPr>
          <w:p>
            <w:pPr>
              <w:jc w:val="center"/>
              <w:rPr>
                <w:rFonts w:hint="eastAsia" w:ascii="宋体" w:hAnsi="宋体" w:eastAsia="宋体" w:cs="宋体"/>
                <w:sz w:val="24"/>
              </w:rPr>
            </w:pPr>
            <w:r>
              <w:rPr>
                <w:rFonts w:hint="eastAsia" w:ascii="宋体" w:hAnsi="宋体" w:eastAsia="宋体" w:cs="宋体"/>
                <w:sz w:val="24"/>
              </w:rPr>
              <w:t xml:space="preserve">60mm单芯用 </w:t>
            </w:r>
          </w:p>
        </w:tc>
        <w:tc>
          <w:tcPr>
            <w:tcW w:w="1559" w:type="dxa"/>
            <w:vAlign w:val="top"/>
          </w:tcPr>
          <w:p>
            <w:pPr>
              <w:jc w:val="center"/>
              <w:rPr>
                <w:rFonts w:hint="eastAsia" w:ascii="宋体" w:hAnsi="宋体" w:eastAsia="宋体" w:cs="宋体"/>
                <w:sz w:val="24"/>
              </w:rPr>
            </w:pPr>
            <w:r>
              <w:rPr>
                <w:rFonts w:hint="eastAsia" w:ascii="宋体" w:hAnsi="宋体" w:eastAsia="宋体" w:cs="宋体"/>
                <w:sz w:val="24"/>
              </w:rPr>
              <w:t>高品质</w:t>
            </w:r>
          </w:p>
        </w:tc>
        <w:tc>
          <w:tcPr>
            <w:tcW w:w="1559" w:type="dxa"/>
            <w:vMerge w:val="restart"/>
            <w:vAlign w:val="center"/>
          </w:tcPr>
          <w:p>
            <w:pPr>
              <w:jc w:val="center"/>
              <w:rPr>
                <w:rFonts w:hint="eastAsia" w:ascii="宋体" w:hAnsi="宋体" w:eastAsia="宋体" w:cs="宋体"/>
                <w:sz w:val="24"/>
              </w:rPr>
            </w:pPr>
            <w:r>
              <w:rPr>
                <w:rFonts w:hint="eastAsia" w:ascii="宋体" w:hAnsi="宋体" w:eastAsia="宋体" w:cs="宋体"/>
                <w:sz w:val="24"/>
              </w:rPr>
              <w:t>承办方提供（也可自带）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615" w:type="dxa"/>
            <w:vAlign w:val="top"/>
          </w:tcPr>
          <w:p>
            <w:pPr>
              <w:jc w:val="center"/>
              <w:rPr>
                <w:rFonts w:hint="eastAsia" w:ascii="宋体" w:hAnsi="宋体" w:eastAsia="宋体" w:cs="宋体"/>
                <w:sz w:val="24"/>
              </w:rPr>
            </w:pPr>
            <w:r>
              <w:rPr>
                <w:rFonts w:hint="eastAsia" w:ascii="宋体" w:hAnsi="宋体" w:eastAsia="宋体" w:cs="宋体"/>
                <w:bCs/>
                <w:sz w:val="24"/>
              </w:rPr>
              <w:t>光缆</w:t>
            </w:r>
            <w:r>
              <w:rPr>
                <w:rFonts w:hint="eastAsia" w:ascii="宋体" w:hAnsi="宋体" w:eastAsia="宋体" w:cs="宋体"/>
                <w:sz w:val="24"/>
              </w:rPr>
              <w:t>接头盒</w:t>
            </w:r>
          </w:p>
        </w:tc>
        <w:tc>
          <w:tcPr>
            <w:tcW w:w="2583" w:type="dxa"/>
            <w:vAlign w:val="top"/>
          </w:tcPr>
          <w:p>
            <w:pPr>
              <w:jc w:val="center"/>
              <w:rPr>
                <w:rFonts w:hint="eastAsia" w:ascii="宋体" w:hAnsi="宋体" w:eastAsia="宋体" w:cs="宋体"/>
                <w:sz w:val="24"/>
              </w:rPr>
            </w:pPr>
            <w:r>
              <w:rPr>
                <w:rFonts w:hint="eastAsia" w:ascii="宋体" w:hAnsi="宋体" w:eastAsia="宋体" w:cs="宋体"/>
                <w:bCs/>
                <w:sz w:val="24"/>
              </w:rPr>
              <w:t>超前GPJ09H4-B卧式</w:t>
            </w:r>
          </w:p>
        </w:tc>
        <w:tc>
          <w:tcPr>
            <w:tcW w:w="1559" w:type="dxa"/>
            <w:vAlign w:val="top"/>
          </w:tcPr>
          <w:p>
            <w:pPr>
              <w:jc w:val="center"/>
              <w:rPr>
                <w:rFonts w:hint="eastAsia" w:ascii="宋体" w:hAnsi="宋体" w:eastAsia="宋体" w:cs="宋体"/>
                <w:sz w:val="24"/>
              </w:rPr>
            </w:pPr>
            <w:r>
              <w:rPr>
                <w:rFonts w:hint="eastAsia" w:ascii="宋体" w:hAnsi="宋体" w:eastAsia="宋体" w:cs="宋体"/>
                <w:color w:val="3F3F3F"/>
                <w:sz w:val="24"/>
              </w:rPr>
              <w:t>/</w:t>
            </w:r>
          </w:p>
        </w:tc>
        <w:tc>
          <w:tcPr>
            <w:tcW w:w="1559" w:type="dxa"/>
            <w:vMerge w:val="continue"/>
            <w:vAlign w:val="top"/>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615" w:type="dxa"/>
            <w:vAlign w:val="center"/>
          </w:tcPr>
          <w:p>
            <w:pPr>
              <w:widowControl/>
              <w:jc w:val="center"/>
              <w:rPr>
                <w:rFonts w:hint="eastAsia" w:ascii="宋体" w:hAnsi="宋体" w:eastAsia="宋体" w:cs="宋体"/>
                <w:color w:val="3F3F3F"/>
                <w:sz w:val="24"/>
              </w:rPr>
            </w:pPr>
            <w:r>
              <w:rPr>
                <w:rFonts w:hint="eastAsia" w:ascii="宋体" w:hAnsi="宋体" w:eastAsia="宋体" w:cs="宋体"/>
                <w:color w:val="3F3F3F"/>
                <w:sz w:val="24"/>
              </w:rPr>
              <w:t>酒精</w:t>
            </w:r>
          </w:p>
        </w:tc>
        <w:tc>
          <w:tcPr>
            <w:tcW w:w="2583" w:type="dxa"/>
            <w:vAlign w:val="center"/>
          </w:tcPr>
          <w:p>
            <w:pPr>
              <w:jc w:val="center"/>
              <w:rPr>
                <w:rFonts w:hint="eastAsia" w:ascii="宋体" w:hAnsi="宋体" w:eastAsia="宋体" w:cs="宋体"/>
                <w:color w:val="3F3F3F"/>
                <w:sz w:val="24"/>
              </w:rPr>
            </w:pPr>
            <w:r>
              <w:rPr>
                <w:rFonts w:hint="eastAsia" w:ascii="宋体" w:hAnsi="宋体" w:eastAsia="宋体" w:cs="宋体"/>
                <w:color w:val="3F3F3F"/>
                <w:sz w:val="24"/>
              </w:rPr>
              <w:t>无水乙醇500毫升　</w:t>
            </w:r>
          </w:p>
        </w:tc>
        <w:tc>
          <w:tcPr>
            <w:tcW w:w="1559" w:type="dxa"/>
            <w:vAlign w:val="center"/>
          </w:tcPr>
          <w:p>
            <w:pPr>
              <w:jc w:val="center"/>
              <w:rPr>
                <w:rFonts w:hint="eastAsia" w:ascii="宋体" w:hAnsi="宋体" w:eastAsia="宋体" w:cs="宋体"/>
                <w:color w:val="3F3F3F"/>
                <w:sz w:val="24"/>
              </w:rPr>
            </w:pPr>
            <w:r>
              <w:rPr>
                <w:rFonts w:hint="eastAsia" w:ascii="宋体" w:hAnsi="宋体" w:eastAsia="宋体" w:cs="宋体"/>
                <w:color w:val="3F3F3F"/>
                <w:sz w:val="24"/>
              </w:rPr>
              <w:t>/</w:t>
            </w:r>
          </w:p>
        </w:tc>
        <w:tc>
          <w:tcPr>
            <w:tcW w:w="1559" w:type="dxa"/>
            <w:vMerge w:val="continue"/>
            <w:vAlign w:val="top"/>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615" w:type="dxa"/>
            <w:vAlign w:val="center"/>
          </w:tcPr>
          <w:p>
            <w:pPr>
              <w:widowControl/>
              <w:jc w:val="center"/>
              <w:rPr>
                <w:rFonts w:hint="eastAsia" w:ascii="宋体" w:hAnsi="宋体" w:eastAsia="宋体" w:cs="宋体"/>
                <w:sz w:val="24"/>
              </w:rPr>
            </w:pPr>
            <w:r>
              <w:rPr>
                <w:rFonts w:hint="eastAsia" w:ascii="宋体" w:hAnsi="宋体" w:eastAsia="宋体" w:cs="宋体"/>
                <w:sz w:val="24"/>
              </w:rPr>
              <w:t>胶布</w:t>
            </w:r>
          </w:p>
        </w:tc>
        <w:tc>
          <w:tcPr>
            <w:tcW w:w="2583" w:type="dxa"/>
            <w:vAlign w:val="center"/>
          </w:tcPr>
          <w:p>
            <w:pPr>
              <w:jc w:val="center"/>
              <w:rPr>
                <w:rFonts w:hint="eastAsia" w:ascii="宋体" w:hAnsi="宋体" w:eastAsia="宋体" w:cs="宋体"/>
                <w:sz w:val="24"/>
              </w:rPr>
            </w:pPr>
            <w:r>
              <w:rPr>
                <w:rFonts w:hint="eastAsia" w:ascii="宋体" w:hAnsi="宋体" w:eastAsia="宋体" w:cs="宋体"/>
                <w:sz w:val="24"/>
              </w:rPr>
              <w:t>公牛</w:t>
            </w:r>
          </w:p>
        </w:tc>
        <w:tc>
          <w:tcPr>
            <w:tcW w:w="1559" w:type="dxa"/>
            <w:vAlign w:val="center"/>
          </w:tcPr>
          <w:p>
            <w:pPr>
              <w:widowControl/>
              <w:jc w:val="center"/>
              <w:rPr>
                <w:rFonts w:hint="eastAsia" w:ascii="宋体" w:hAnsi="宋体" w:eastAsia="宋体" w:cs="宋体"/>
                <w:sz w:val="24"/>
              </w:rPr>
            </w:pPr>
            <w:r>
              <w:rPr>
                <w:rFonts w:hint="eastAsia" w:ascii="宋体" w:hAnsi="宋体" w:eastAsia="宋体" w:cs="宋体"/>
                <w:sz w:val="24"/>
              </w:rPr>
              <w:t>/</w:t>
            </w:r>
          </w:p>
        </w:tc>
        <w:tc>
          <w:tcPr>
            <w:tcW w:w="1559" w:type="dxa"/>
            <w:vMerge w:val="continue"/>
            <w:vAlign w:val="top"/>
          </w:tcPr>
          <w:p>
            <w:pPr>
              <w:jc w:val="center"/>
              <w:rPr>
                <w:rFonts w:hint="eastAsia" w:ascii="宋体" w:hAnsi="宋体" w:eastAsia="宋体" w:cs="宋体"/>
                <w:color w:val="3F3F3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615" w:type="dxa"/>
            <w:vAlign w:val="center"/>
          </w:tcPr>
          <w:p>
            <w:pPr>
              <w:widowControl/>
              <w:jc w:val="center"/>
              <w:rPr>
                <w:rFonts w:hint="eastAsia" w:ascii="宋体" w:hAnsi="宋体" w:eastAsia="宋体" w:cs="宋体"/>
                <w:sz w:val="24"/>
              </w:rPr>
            </w:pPr>
            <w:r>
              <w:rPr>
                <w:rFonts w:hint="eastAsia" w:ascii="宋体" w:hAnsi="宋体" w:eastAsia="宋体" w:cs="宋体"/>
                <w:sz w:val="24"/>
              </w:rPr>
              <w:t>扎带</w:t>
            </w:r>
          </w:p>
        </w:tc>
        <w:tc>
          <w:tcPr>
            <w:tcW w:w="2583" w:type="dxa"/>
            <w:vAlign w:val="center"/>
          </w:tcPr>
          <w:p>
            <w:pPr>
              <w:jc w:val="center"/>
              <w:rPr>
                <w:rFonts w:hint="eastAsia" w:ascii="宋体" w:hAnsi="宋体" w:eastAsia="宋体" w:cs="宋体"/>
                <w:sz w:val="24"/>
              </w:rPr>
            </w:pPr>
            <w:r>
              <w:rPr>
                <w:rFonts w:ascii="宋体" w:hAnsi="宋体" w:eastAsia="宋体" w:cs="宋体"/>
                <w:sz w:val="24"/>
              </w:rPr>
              <w:t>2</w:t>
            </w:r>
            <w:r>
              <w:rPr>
                <w:rFonts w:hint="eastAsia" w:ascii="宋体" w:hAnsi="宋体" w:eastAsia="宋体" w:cs="宋体"/>
                <w:sz w:val="24"/>
              </w:rPr>
              <w:t>.5×</w:t>
            </w:r>
            <w:r>
              <w:rPr>
                <w:rFonts w:ascii="宋体" w:hAnsi="宋体" w:eastAsia="宋体" w:cs="宋体"/>
                <w:sz w:val="24"/>
              </w:rPr>
              <w:t>1</w:t>
            </w:r>
            <w:r>
              <w:rPr>
                <w:rFonts w:hint="eastAsia" w:ascii="宋体" w:hAnsi="宋体" w:eastAsia="宋体" w:cs="宋体"/>
                <w:sz w:val="24"/>
              </w:rPr>
              <w:t>00mm</w:t>
            </w:r>
          </w:p>
        </w:tc>
        <w:tc>
          <w:tcPr>
            <w:tcW w:w="1559" w:type="dxa"/>
            <w:vAlign w:val="center"/>
          </w:tcPr>
          <w:p>
            <w:pPr>
              <w:widowControl/>
              <w:jc w:val="center"/>
              <w:rPr>
                <w:rFonts w:hint="eastAsia" w:ascii="宋体" w:hAnsi="宋体" w:eastAsia="宋体" w:cs="宋体"/>
                <w:sz w:val="24"/>
              </w:rPr>
            </w:pPr>
            <w:r>
              <w:rPr>
                <w:rFonts w:hint="eastAsia" w:ascii="宋体" w:hAnsi="宋体" w:eastAsia="宋体" w:cs="宋体"/>
                <w:sz w:val="24"/>
              </w:rPr>
              <w:t>/</w:t>
            </w:r>
          </w:p>
        </w:tc>
        <w:tc>
          <w:tcPr>
            <w:tcW w:w="1559" w:type="dxa"/>
            <w:vMerge w:val="continue"/>
            <w:vAlign w:val="top"/>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615" w:type="dxa"/>
            <w:vAlign w:val="center"/>
          </w:tcPr>
          <w:p>
            <w:pPr>
              <w:jc w:val="center"/>
              <w:rPr>
                <w:rFonts w:hint="eastAsia" w:ascii="宋体" w:hAnsi="宋体" w:eastAsia="宋体" w:cs="宋体"/>
                <w:sz w:val="24"/>
              </w:rPr>
            </w:pPr>
            <w:r>
              <w:rPr>
                <w:rFonts w:hint="eastAsia" w:ascii="宋体" w:hAnsi="宋体" w:eastAsia="宋体" w:cs="宋体"/>
                <w:sz w:val="24"/>
              </w:rPr>
              <w:t>卫生纸</w:t>
            </w:r>
          </w:p>
        </w:tc>
        <w:tc>
          <w:tcPr>
            <w:tcW w:w="2583" w:type="dxa"/>
            <w:vAlign w:val="center"/>
          </w:tcPr>
          <w:p>
            <w:pPr>
              <w:jc w:val="center"/>
              <w:rPr>
                <w:rFonts w:hint="eastAsia" w:ascii="宋体" w:hAnsi="宋体" w:eastAsia="宋体" w:cs="宋体"/>
                <w:sz w:val="24"/>
              </w:rPr>
            </w:pPr>
            <w:r>
              <w:rPr>
                <w:rFonts w:hint="eastAsia" w:ascii="宋体" w:hAnsi="宋体" w:eastAsia="宋体" w:cs="宋体"/>
                <w:sz w:val="24"/>
              </w:rPr>
              <w:t>/</w:t>
            </w:r>
          </w:p>
        </w:tc>
        <w:tc>
          <w:tcPr>
            <w:tcW w:w="1559" w:type="dxa"/>
            <w:vAlign w:val="center"/>
          </w:tcPr>
          <w:p>
            <w:pPr>
              <w:jc w:val="center"/>
              <w:rPr>
                <w:rFonts w:hint="eastAsia" w:ascii="宋体" w:hAnsi="宋体" w:eastAsia="宋体" w:cs="宋体"/>
                <w:sz w:val="24"/>
              </w:rPr>
            </w:pPr>
            <w:r>
              <w:rPr>
                <w:rFonts w:hint="eastAsia" w:ascii="宋体" w:hAnsi="宋体" w:eastAsia="宋体" w:cs="宋体"/>
                <w:sz w:val="24"/>
              </w:rPr>
              <w:t>/</w:t>
            </w:r>
          </w:p>
        </w:tc>
        <w:tc>
          <w:tcPr>
            <w:tcW w:w="1559" w:type="dxa"/>
            <w:vMerge w:val="continue"/>
            <w:vAlign w:val="top"/>
          </w:tcPr>
          <w:p>
            <w:pPr>
              <w:jc w:val="center"/>
              <w:rPr>
                <w:rFonts w:hint="eastAsia" w:ascii="宋体" w:hAnsi="宋体" w:eastAsia="宋体" w:cs="宋体"/>
                <w:sz w:val="24"/>
              </w:rPr>
            </w:pPr>
          </w:p>
        </w:tc>
      </w:tr>
    </w:tbl>
    <w:p>
      <w:pPr>
        <w:spacing w:line="600" w:lineRule="exact"/>
        <w:ind w:left="640"/>
        <w:rPr>
          <w:rFonts w:hint="eastAsia" w:ascii="宋体" w:hAnsi="宋体" w:eastAsia="宋体" w:cs="宋体"/>
          <w:b/>
          <w:kern w:val="0"/>
          <w:szCs w:val="32"/>
        </w:rPr>
      </w:pPr>
      <w:r>
        <w:rPr>
          <w:rFonts w:hint="eastAsia" w:ascii="宋体" w:hAnsi="宋体" w:eastAsia="宋体" w:cs="宋体"/>
          <w:b/>
          <w:kern w:val="0"/>
          <w:szCs w:val="32"/>
        </w:rPr>
        <w:t>六、</w:t>
      </w:r>
      <w:r>
        <w:rPr>
          <w:rFonts w:hint="eastAsia" w:ascii="黑体" w:hAnsi="黑体" w:eastAsia="黑体" w:cs="黑体"/>
          <w:b w:val="0"/>
          <w:bCs/>
          <w:szCs w:val="32"/>
        </w:rPr>
        <w:t>竞赛须知</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（1）参赛选手凭参赛证和选手编号，经评委核实后方可进入竞赛场地。</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（2）选手只准携带规定的竞赛工具、用品，或经评委许可的自制工具，其他工具、用品一律不准带入竞赛场地。</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（3）选手要自觉遵守赛场纪律，服从工作人员和评委指挥，按时进入考场，迟到10分钟者取消该项目竞赛资格。非临场选手应在指定地点候考，不准进入赛场。</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（4）因设备故障无法进行操作时，选手可当场向评委提出，经确认同意后暂停竞赛。评委员应做好记录，并相应补时。</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（5）规定时间终结，选手应立即停止操作，并将竞赛使用的工具按规定位置放好后，立即离开竞赛场地。</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（6）选手对同场评委的裁决如有异议，不得当场向评委提出，应于赛后当天由领队向评委组或仲裁组书面反映，由仲裁组根据有关规定和竞赛实际情况进行仲裁。</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eastAsia" w:ascii="仿宋_GB2312" w:hAnsi="Times New Roman" w:cs="Times New Roman"/>
          <w:color w:val="auto"/>
          <w:sz w:val="32"/>
          <w:szCs w:val="32"/>
        </w:rPr>
      </w:pPr>
      <w:r>
        <w:rPr>
          <w:rFonts w:hint="eastAsia" w:ascii="仿宋_GB2312" w:hAnsi="Times New Roman" w:cs="Times New Roman"/>
          <w:color w:val="auto"/>
          <w:sz w:val="32"/>
          <w:szCs w:val="32"/>
        </w:rPr>
        <w:t>（7）竞赛现场，选手不得与评委争执，否则取消该项竞赛成绩。</w:t>
      </w:r>
    </w:p>
    <w:p/>
    <w:p>
      <w:bookmarkStart w:id="1" w:name="_GoBack"/>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57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2024-03-21T09:16:14Z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